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22E87C" w14:textId="581105D3" w:rsidR="006A1EDE" w:rsidRPr="00FE3EDE" w:rsidRDefault="006A1EDE" w:rsidP="00DC15D0">
      <w:pPr>
        <w:spacing w:after="0" w:line="360" w:lineRule="auto"/>
        <w:ind w:firstLine="567"/>
        <w:jc w:val="right"/>
        <w:rPr>
          <w:rFonts w:ascii="Times New Roman" w:hAnsi="Times New Roman" w:cs="Times New Roman"/>
          <w:sz w:val="28"/>
          <w:szCs w:val="28"/>
          <w:lang w:val="en-US"/>
        </w:rPr>
      </w:pPr>
      <w:r>
        <w:rPr>
          <w:rFonts w:ascii="Times New Roman" w:hAnsi="Times New Roman" w:cs="Times New Roman"/>
          <w:sz w:val="28"/>
          <w:szCs w:val="28"/>
        </w:rPr>
        <w:t>УДК</w:t>
      </w:r>
      <w:r w:rsidRPr="00FE3EDE">
        <w:rPr>
          <w:rFonts w:ascii="Times New Roman" w:hAnsi="Times New Roman" w:cs="Times New Roman"/>
          <w:sz w:val="28"/>
          <w:szCs w:val="28"/>
          <w:lang w:val="en-US"/>
        </w:rPr>
        <w:t xml:space="preserve"> </w:t>
      </w:r>
      <w:r w:rsidR="00DC15D0" w:rsidRPr="00FE3EDE">
        <w:rPr>
          <w:rFonts w:ascii="Times New Roman" w:hAnsi="Times New Roman" w:cs="Times New Roman"/>
          <w:sz w:val="28"/>
          <w:szCs w:val="28"/>
          <w:lang w:val="en-US"/>
        </w:rPr>
        <w:t>336.717</w:t>
      </w:r>
    </w:p>
    <w:p w14:paraId="25692A0A" w14:textId="4F4889B3" w:rsidR="004F719F" w:rsidRPr="00FE3EDE" w:rsidRDefault="00DC15D0" w:rsidP="00DC15D0">
      <w:pPr>
        <w:spacing w:after="0" w:line="360" w:lineRule="auto"/>
        <w:ind w:firstLine="567"/>
        <w:jc w:val="center"/>
        <w:rPr>
          <w:rFonts w:ascii="Times New Roman" w:hAnsi="Times New Roman" w:cs="Times New Roman"/>
          <w:b/>
          <w:bCs/>
          <w:sz w:val="28"/>
          <w:szCs w:val="28"/>
          <w:lang w:val="en-US"/>
        </w:rPr>
      </w:pPr>
      <w:r w:rsidRPr="00DC15D0">
        <w:rPr>
          <w:rFonts w:ascii="Times New Roman" w:hAnsi="Times New Roman" w:cs="Times New Roman"/>
          <w:b/>
          <w:bCs/>
          <w:sz w:val="28"/>
          <w:szCs w:val="28"/>
        </w:rPr>
        <w:t>АНАЛИЗ</w:t>
      </w:r>
      <w:r w:rsidRPr="00FE3EDE">
        <w:rPr>
          <w:rFonts w:ascii="Times New Roman" w:hAnsi="Times New Roman" w:cs="Times New Roman"/>
          <w:b/>
          <w:bCs/>
          <w:sz w:val="28"/>
          <w:szCs w:val="28"/>
          <w:lang w:val="en-US"/>
        </w:rPr>
        <w:t xml:space="preserve"> </w:t>
      </w:r>
      <w:r w:rsidRPr="00DC15D0">
        <w:rPr>
          <w:rFonts w:ascii="Times New Roman" w:hAnsi="Times New Roman" w:cs="Times New Roman"/>
          <w:b/>
          <w:bCs/>
          <w:sz w:val="28"/>
          <w:szCs w:val="28"/>
        </w:rPr>
        <w:t>РЫНКА</w:t>
      </w:r>
      <w:r w:rsidRPr="00FE3EDE">
        <w:rPr>
          <w:rFonts w:ascii="Times New Roman" w:hAnsi="Times New Roman" w:cs="Times New Roman"/>
          <w:b/>
          <w:bCs/>
          <w:sz w:val="28"/>
          <w:szCs w:val="28"/>
          <w:lang w:val="en-US"/>
        </w:rPr>
        <w:t xml:space="preserve"> </w:t>
      </w:r>
      <w:r w:rsidRPr="00DC15D0">
        <w:rPr>
          <w:rFonts w:ascii="Times New Roman" w:hAnsi="Times New Roman" w:cs="Times New Roman"/>
          <w:b/>
          <w:bCs/>
          <w:sz w:val="28"/>
          <w:szCs w:val="28"/>
        </w:rPr>
        <w:t>КРЕДИТНЫХ</w:t>
      </w:r>
      <w:r w:rsidRPr="00FE3EDE">
        <w:rPr>
          <w:rFonts w:ascii="Times New Roman" w:hAnsi="Times New Roman" w:cs="Times New Roman"/>
          <w:b/>
          <w:bCs/>
          <w:sz w:val="28"/>
          <w:szCs w:val="28"/>
          <w:lang w:val="en-US"/>
        </w:rPr>
        <w:t xml:space="preserve"> </w:t>
      </w:r>
      <w:r w:rsidRPr="00DC15D0">
        <w:rPr>
          <w:rFonts w:ascii="Times New Roman" w:hAnsi="Times New Roman" w:cs="Times New Roman"/>
          <w:b/>
          <w:bCs/>
          <w:sz w:val="28"/>
          <w:szCs w:val="28"/>
        </w:rPr>
        <w:t>КАРТ</w:t>
      </w:r>
    </w:p>
    <w:p w14:paraId="1DD19A65" w14:textId="709082B6" w:rsidR="00DC15D0" w:rsidRDefault="00DC15D0" w:rsidP="00DC15D0">
      <w:pPr>
        <w:spacing w:after="0" w:line="360" w:lineRule="auto"/>
        <w:ind w:firstLine="567"/>
        <w:jc w:val="center"/>
        <w:rPr>
          <w:rFonts w:ascii="Times New Roman" w:hAnsi="Times New Roman" w:cs="Times New Roman"/>
          <w:b/>
          <w:bCs/>
          <w:sz w:val="28"/>
          <w:szCs w:val="28"/>
        </w:rPr>
      </w:pPr>
      <w:r w:rsidRPr="00DC15D0">
        <w:rPr>
          <w:rFonts w:ascii="Times New Roman" w:hAnsi="Times New Roman" w:cs="Times New Roman"/>
          <w:b/>
          <w:bCs/>
          <w:sz w:val="28"/>
          <w:szCs w:val="28"/>
          <w:lang w:val="en-US"/>
        </w:rPr>
        <w:t>ANALYSIS OF THE CREDIT CARD MARKET</w:t>
      </w:r>
    </w:p>
    <w:p w14:paraId="00CCCD75" w14:textId="77777777" w:rsidR="00FE3EDE" w:rsidRPr="00FE3EDE" w:rsidRDefault="00FE3EDE" w:rsidP="00DC15D0">
      <w:pPr>
        <w:spacing w:after="0" w:line="360" w:lineRule="auto"/>
        <w:ind w:firstLine="567"/>
        <w:jc w:val="center"/>
        <w:rPr>
          <w:rFonts w:ascii="Times New Roman" w:hAnsi="Times New Roman" w:cs="Times New Roman"/>
          <w:b/>
          <w:bCs/>
          <w:sz w:val="28"/>
          <w:szCs w:val="28"/>
        </w:rPr>
      </w:pPr>
    </w:p>
    <w:p w14:paraId="580B56BA" w14:textId="77777777" w:rsidR="00FE3EDE" w:rsidRPr="005414C6" w:rsidRDefault="00FE3EDE" w:rsidP="00FE3EDE">
      <w:pPr>
        <w:spacing w:after="0" w:line="360" w:lineRule="auto"/>
        <w:ind w:firstLine="567"/>
        <w:jc w:val="right"/>
        <w:rPr>
          <w:rFonts w:ascii="Times New Roman" w:hAnsi="Times New Roman" w:cs="Times New Roman"/>
          <w:b/>
          <w:bCs/>
          <w:sz w:val="28"/>
          <w:szCs w:val="28"/>
        </w:rPr>
      </w:pPr>
      <w:r w:rsidRPr="00594DC2">
        <w:rPr>
          <w:rFonts w:ascii="Times New Roman" w:hAnsi="Times New Roman" w:cs="Times New Roman"/>
          <w:b/>
          <w:bCs/>
          <w:sz w:val="28"/>
          <w:szCs w:val="28"/>
        </w:rPr>
        <w:t>ВАМПИЛОВА</w:t>
      </w:r>
      <w:r w:rsidRPr="005414C6">
        <w:rPr>
          <w:rFonts w:ascii="Times New Roman" w:hAnsi="Times New Roman" w:cs="Times New Roman"/>
          <w:b/>
          <w:bCs/>
          <w:sz w:val="28"/>
          <w:szCs w:val="28"/>
        </w:rPr>
        <w:t xml:space="preserve"> </w:t>
      </w:r>
      <w:r w:rsidRPr="00594DC2">
        <w:rPr>
          <w:rFonts w:ascii="Times New Roman" w:hAnsi="Times New Roman" w:cs="Times New Roman"/>
          <w:b/>
          <w:bCs/>
          <w:sz w:val="28"/>
          <w:szCs w:val="28"/>
        </w:rPr>
        <w:t>АРЮНА</w:t>
      </w:r>
      <w:r w:rsidRPr="005414C6">
        <w:rPr>
          <w:rFonts w:ascii="Times New Roman" w:hAnsi="Times New Roman" w:cs="Times New Roman"/>
          <w:b/>
          <w:bCs/>
          <w:sz w:val="28"/>
          <w:szCs w:val="28"/>
        </w:rPr>
        <w:t xml:space="preserve"> </w:t>
      </w:r>
      <w:r w:rsidRPr="00594DC2">
        <w:rPr>
          <w:rFonts w:ascii="Times New Roman" w:hAnsi="Times New Roman" w:cs="Times New Roman"/>
          <w:b/>
          <w:bCs/>
          <w:sz w:val="28"/>
          <w:szCs w:val="28"/>
        </w:rPr>
        <w:t>ДАМДИНОВНА</w:t>
      </w:r>
    </w:p>
    <w:p w14:paraId="460AF443" w14:textId="77777777" w:rsidR="00FE3EDE" w:rsidRPr="00594DC2" w:rsidRDefault="00FE3EDE" w:rsidP="00FE3EDE">
      <w:pPr>
        <w:spacing w:after="0" w:line="360" w:lineRule="auto"/>
        <w:ind w:firstLine="567"/>
        <w:jc w:val="right"/>
        <w:rPr>
          <w:rFonts w:ascii="Times New Roman" w:hAnsi="Times New Roman" w:cs="Times New Roman"/>
          <w:i/>
          <w:iCs/>
          <w:sz w:val="28"/>
          <w:szCs w:val="28"/>
        </w:rPr>
      </w:pPr>
      <w:r w:rsidRPr="00594DC2">
        <w:rPr>
          <w:rFonts w:ascii="Times New Roman" w:hAnsi="Times New Roman" w:cs="Times New Roman"/>
          <w:i/>
          <w:iCs/>
          <w:sz w:val="28"/>
          <w:szCs w:val="28"/>
        </w:rPr>
        <w:t>Студент 3-го курса, кафедра прикладной экономики</w:t>
      </w:r>
    </w:p>
    <w:p w14:paraId="2D498E40" w14:textId="77777777" w:rsidR="00FE3EDE" w:rsidRPr="00594DC2" w:rsidRDefault="00FE3EDE" w:rsidP="00FE3EDE">
      <w:pPr>
        <w:spacing w:after="0" w:line="360" w:lineRule="auto"/>
        <w:ind w:firstLine="567"/>
        <w:jc w:val="right"/>
        <w:rPr>
          <w:rFonts w:ascii="Times New Roman" w:hAnsi="Times New Roman" w:cs="Times New Roman"/>
          <w:i/>
          <w:iCs/>
          <w:sz w:val="28"/>
          <w:szCs w:val="28"/>
        </w:rPr>
      </w:pPr>
      <w:r w:rsidRPr="00594DC2">
        <w:rPr>
          <w:rFonts w:ascii="Times New Roman" w:hAnsi="Times New Roman" w:cs="Times New Roman"/>
          <w:i/>
          <w:iCs/>
          <w:sz w:val="28"/>
          <w:szCs w:val="28"/>
        </w:rPr>
        <w:t xml:space="preserve">Бурятский государственный университет имени </w:t>
      </w:r>
      <w:proofErr w:type="spellStart"/>
      <w:r w:rsidRPr="00594DC2">
        <w:rPr>
          <w:rFonts w:ascii="Times New Roman" w:hAnsi="Times New Roman" w:cs="Times New Roman"/>
          <w:i/>
          <w:iCs/>
          <w:sz w:val="28"/>
          <w:szCs w:val="28"/>
        </w:rPr>
        <w:t>Доржи</w:t>
      </w:r>
      <w:proofErr w:type="spellEnd"/>
      <w:r w:rsidRPr="00594DC2">
        <w:rPr>
          <w:rFonts w:ascii="Times New Roman" w:hAnsi="Times New Roman" w:cs="Times New Roman"/>
          <w:i/>
          <w:iCs/>
          <w:sz w:val="28"/>
          <w:szCs w:val="28"/>
        </w:rPr>
        <w:t xml:space="preserve"> Банзарова</w:t>
      </w:r>
    </w:p>
    <w:p w14:paraId="79E2F3E7" w14:textId="77777777" w:rsidR="00FE3EDE" w:rsidRPr="00594DC2" w:rsidRDefault="00FE3EDE" w:rsidP="00FE3EDE">
      <w:pPr>
        <w:spacing w:after="0" w:line="360" w:lineRule="auto"/>
        <w:ind w:firstLine="567"/>
        <w:jc w:val="right"/>
        <w:rPr>
          <w:rFonts w:ascii="Times New Roman" w:hAnsi="Times New Roman" w:cs="Times New Roman"/>
          <w:b/>
          <w:bCs/>
          <w:sz w:val="28"/>
          <w:szCs w:val="28"/>
          <w:lang w:val="en-US"/>
        </w:rPr>
      </w:pPr>
      <w:r w:rsidRPr="00594DC2">
        <w:rPr>
          <w:rFonts w:ascii="Times New Roman" w:hAnsi="Times New Roman" w:cs="Times New Roman"/>
          <w:b/>
          <w:bCs/>
          <w:sz w:val="28"/>
          <w:szCs w:val="28"/>
          <w:lang w:val="en-US"/>
        </w:rPr>
        <w:t>VAMPILOVA ARYUNA DAMDINOVNA</w:t>
      </w:r>
    </w:p>
    <w:p w14:paraId="12B3F023" w14:textId="77777777" w:rsidR="00FE3EDE" w:rsidRPr="00594DC2" w:rsidRDefault="00FE3EDE" w:rsidP="00FE3EDE">
      <w:pPr>
        <w:spacing w:after="0" w:line="360" w:lineRule="auto"/>
        <w:ind w:firstLine="567"/>
        <w:jc w:val="right"/>
        <w:rPr>
          <w:rFonts w:ascii="Times New Roman" w:hAnsi="Times New Roman" w:cs="Times New Roman"/>
          <w:i/>
          <w:iCs/>
          <w:sz w:val="28"/>
          <w:szCs w:val="28"/>
          <w:lang w:val="en-US"/>
        </w:rPr>
      </w:pPr>
      <w:r w:rsidRPr="00594DC2">
        <w:rPr>
          <w:rFonts w:ascii="Times New Roman" w:hAnsi="Times New Roman" w:cs="Times New Roman"/>
          <w:i/>
          <w:iCs/>
          <w:sz w:val="28"/>
          <w:szCs w:val="28"/>
          <w:lang w:val="en-US"/>
        </w:rPr>
        <w:t>Student of the 3nd year, Department of Applied Economics</w:t>
      </w:r>
    </w:p>
    <w:p w14:paraId="1C1034ED" w14:textId="77777777" w:rsidR="00FE3EDE" w:rsidRPr="00FE3EDE" w:rsidRDefault="00FE3EDE" w:rsidP="00FE3EDE">
      <w:pPr>
        <w:spacing w:after="0" w:line="360" w:lineRule="auto"/>
        <w:ind w:firstLine="567"/>
        <w:jc w:val="right"/>
        <w:rPr>
          <w:rFonts w:ascii="Times New Roman" w:hAnsi="Times New Roman" w:cs="Times New Roman"/>
          <w:i/>
          <w:iCs/>
          <w:sz w:val="28"/>
          <w:szCs w:val="28"/>
          <w:lang w:val="en-US"/>
        </w:rPr>
      </w:pPr>
      <w:proofErr w:type="spellStart"/>
      <w:r w:rsidRPr="005414C6">
        <w:rPr>
          <w:rFonts w:ascii="Times New Roman" w:hAnsi="Times New Roman" w:cs="Times New Roman"/>
          <w:i/>
          <w:iCs/>
          <w:sz w:val="28"/>
          <w:szCs w:val="28"/>
          <w:lang w:val="en-US"/>
        </w:rPr>
        <w:t>Banzarov</w:t>
      </w:r>
      <w:proofErr w:type="spellEnd"/>
      <w:r w:rsidRPr="005414C6">
        <w:rPr>
          <w:rFonts w:ascii="Times New Roman" w:hAnsi="Times New Roman" w:cs="Times New Roman"/>
          <w:i/>
          <w:iCs/>
          <w:sz w:val="28"/>
          <w:szCs w:val="28"/>
          <w:lang w:val="en-US"/>
        </w:rPr>
        <w:t xml:space="preserve"> </w:t>
      </w:r>
      <w:proofErr w:type="spellStart"/>
      <w:r w:rsidRPr="005414C6">
        <w:rPr>
          <w:rFonts w:ascii="Times New Roman" w:hAnsi="Times New Roman" w:cs="Times New Roman"/>
          <w:i/>
          <w:iCs/>
          <w:sz w:val="28"/>
          <w:szCs w:val="28"/>
          <w:lang w:val="en-US"/>
        </w:rPr>
        <w:t>Buryat</w:t>
      </w:r>
      <w:proofErr w:type="spellEnd"/>
      <w:r w:rsidRPr="005414C6">
        <w:rPr>
          <w:rFonts w:ascii="Times New Roman" w:hAnsi="Times New Roman" w:cs="Times New Roman"/>
          <w:i/>
          <w:iCs/>
          <w:sz w:val="28"/>
          <w:szCs w:val="28"/>
          <w:lang w:val="en-US"/>
        </w:rPr>
        <w:t xml:space="preserve"> State University</w:t>
      </w:r>
    </w:p>
    <w:p w14:paraId="34CB2324" w14:textId="77777777" w:rsidR="00FE3EDE" w:rsidRPr="00FE3EDE" w:rsidRDefault="00FE3EDE" w:rsidP="00FE3EDE">
      <w:pPr>
        <w:spacing w:after="0" w:line="360" w:lineRule="auto"/>
        <w:ind w:firstLine="567"/>
        <w:jc w:val="right"/>
        <w:rPr>
          <w:rFonts w:ascii="Times New Roman" w:hAnsi="Times New Roman" w:cs="Times New Roman"/>
          <w:i/>
          <w:iCs/>
          <w:sz w:val="28"/>
          <w:szCs w:val="28"/>
          <w:lang w:val="en-US"/>
        </w:rPr>
      </w:pPr>
      <w:r w:rsidRPr="005414C6">
        <w:rPr>
          <w:rFonts w:ascii="Times New Roman" w:hAnsi="Times New Roman" w:cs="Times New Roman"/>
          <w:i/>
          <w:iCs/>
          <w:sz w:val="28"/>
          <w:szCs w:val="28"/>
        </w:rPr>
        <w:t>Научный</w:t>
      </w:r>
      <w:r w:rsidRPr="00FE3EDE">
        <w:rPr>
          <w:rFonts w:ascii="Times New Roman" w:hAnsi="Times New Roman" w:cs="Times New Roman"/>
          <w:i/>
          <w:iCs/>
          <w:sz w:val="28"/>
          <w:szCs w:val="28"/>
          <w:lang w:val="en-US"/>
        </w:rPr>
        <w:t xml:space="preserve"> </w:t>
      </w:r>
      <w:r w:rsidRPr="005414C6">
        <w:rPr>
          <w:rFonts w:ascii="Times New Roman" w:hAnsi="Times New Roman" w:cs="Times New Roman"/>
          <w:i/>
          <w:iCs/>
          <w:sz w:val="28"/>
          <w:szCs w:val="28"/>
        </w:rPr>
        <w:t>руководитель</w:t>
      </w:r>
    </w:p>
    <w:p w14:paraId="700FFB02" w14:textId="77777777" w:rsidR="00FE3EDE" w:rsidRDefault="00FE3EDE" w:rsidP="00FE3EDE">
      <w:pPr>
        <w:spacing w:after="0" w:line="360" w:lineRule="auto"/>
        <w:ind w:firstLine="567"/>
        <w:jc w:val="right"/>
        <w:rPr>
          <w:rFonts w:ascii="Times New Roman" w:hAnsi="Times New Roman" w:cs="Times New Roman"/>
          <w:b/>
          <w:bCs/>
          <w:sz w:val="28"/>
          <w:szCs w:val="28"/>
        </w:rPr>
      </w:pPr>
      <w:r w:rsidRPr="00594DC2">
        <w:rPr>
          <w:rFonts w:ascii="Times New Roman" w:hAnsi="Times New Roman" w:cs="Times New Roman"/>
          <w:b/>
          <w:bCs/>
          <w:sz w:val="28"/>
          <w:szCs w:val="28"/>
        </w:rPr>
        <w:t>БРЫКОВА</w:t>
      </w:r>
      <w:r w:rsidRPr="00FE3EDE">
        <w:rPr>
          <w:rFonts w:ascii="Times New Roman" w:hAnsi="Times New Roman" w:cs="Times New Roman"/>
          <w:b/>
          <w:bCs/>
          <w:sz w:val="28"/>
          <w:szCs w:val="28"/>
        </w:rPr>
        <w:t xml:space="preserve"> </w:t>
      </w:r>
      <w:r w:rsidRPr="00594DC2">
        <w:rPr>
          <w:rFonts w:ascii="Times New Roman" w:hAnsi="Times New Roman" w:cs="Times New Roman"/>
          <w:b/>
          <w:bCs/>
          <w:sz w:val="28"/>
          <w:szCs w:val="28"/>
        </w:rPr>
        <w:t>СВЕТЛАНА</w:t>
      </w:r>
      <w:r w:rsidRPr="00FE3EDE">
        <w:rPr>
          <w:rFonts w:ascii="Times New Roman" w:hAnsi="Times New Roman" w:cs="Times New Roman"/>
          <w:b/>
          <w:bCs/>
          <w:sz w:val="28"/>
          <w:szCs w:val="28"/>
        </w:rPr>
        <w:t xml:space="preserve"> </w:t>
      </w:r>
      <w:r w:rsidRPr="00594DC2">
        <w:rPr>
          <w:rFonts w:ascii="Times New Roman" w:hAnsi="Times New Roman" w:cs="Times New Roman"/>
          <w:b/>
          <w:bCs/>
          <w:sz w:val="28"/>
          <w:szCs w:val="28"/>
        </w:rPr>
        <w:t>СЕРГЕЕВНА</w:t>
      </w:r>
    </w:p>
    <w:p w14:paraId="301D8140" w14:textId="77777777" w:rsidR="00FE3EDE" w:rsidRPr="00FE3EDE" w:rsidRDefault="00FE3EDE" w:rsidP="00FE3EDE">
      <w:pPr>
        <w:spacing w:after="0" w:line="360" w:lineRule="auto"/>
        <w:ind w:firstLine="567"/>
        <w:jc w:val="right"/>
        <w:rPr>
          <w:rFonts w:ascii="Times New Roman" w:hAnsi="Times New Roman" w:cs="Times New Roman"/>
          <w:bCs/>
          <w:sz w:val="28"/>
          <w:szCs w:val="28"/>
        </w:rPr>
      </w:pPr>
      <w:r w:rsidRPr="005414C6">
        <w:rPr>
          <w:rFonts w:ascii="Times New Roman" w:hAnsi="Times New Roman" w:cs="Times New Roman"/>
          <w:bCs/>
          <w:sz w:val="28"/>
          <w:szCs w:val="28"/>
        </w:rPr>
        <w:t xml:space="preserve">Старший преподаватель </w:t>
      </w:r>
    </w:p>
    <w:p w14:paraId="76F441F3" w14:textId="77777777" w:rsidR="00FE3EDE" w:rsidRDefault="00FE3EDE" w:rsidP="00FE3EDE">
      <w:pPr>
        <w:spacing w:after="0" w:line="360" w:lineRule="auto"/>
        <w:ind w:firstLine="567"/>
        <w:jc w:val="right"/>
        <w:rPr>
          <w:rFonts w:ascii="Times New Roman" w:hAnsi="Times New Roman" w:cs="Times New Roman"/>
          <w:i/>
          <w:iCs/>
          <w:sz w:val="28"/>
          <w:szCs w:val="28"/>
        </w:rPr>
      </w:pPr>
      <w:r w:rsidRPr="00594DC2">
        <w:rPr>
          <w:rFonts w:ascii="Times New Roman" w:hAnsi="Times New Roman" w:cs="Times New Roman"/>
          <w:i/>
          <w:iCs/>
          <w:sz w:val="28"/>
          <w:szCs w:val="28"/>
        </w:rPr>
        <w:t xml:space="preserve">Бурятский государственный университет имени </w:t>
      </w:r>
      <w:proofErr w:type="spellStart"/>
      <w:r w:rsidRPr="00594DC2">
        <w:rPr>
          <w:rFonts w:ascii="Times New Roman" w:hAnsi="Times New Roman" w:cs="Times New Roman"/>
          <w:i/>
          <w:iCs/>
          <w:sz w:val="28"/>
          <w:szCs w:val="28"/>
        </w:rPr>
        <w:t>Доржи</w:t>
      </w:r>
      <w:proofErr w:type="spellEnd"/>
      <w:r w:rsidRPr="00594DC2">
        <w:rPr>
          <w:rFonts w:ascii="Times New Roman" w:hAnsi="Times New Roman" w:cs="Times New Roman"/>
          <w:i/>
          <w:iCs/>
          <w:sz w:val="28"/>
          <w:szCs w:val="28"/>
        </w:rPr>
        <w:t xml:space="preserve"> Банзарова</w:t>
      </w:r>
    </w:p>
    <w:p w14:paraId="1392EEFB" w14:textId="77777777" w:rsidR="00FE3EDE" w:rsidRPr="00FE3EDE" w:rsidRDefault="00FE3EDE" w:rsidP="00FE3EDE">
      <w:pPr>
        <w:spacing w:after="0" w:line="360" w:lineRule="auto"/>
        <w:ind w:firstLine="567"/>
        <w:jc w:val="right"/>
        <w:rPr>
          <w:rFonts w:ascii="Times New Roman" w:hAnsi="Times New Roman" w:cs="Times New Roman"/>
          <w:i/>
          <w:iCs/>
          <w:sz w:val="28"/>
          <w:szCs w:val="28"/>
          <w:lang w:val="en-US"/>
        </w:rPr>
      </w:pPr>
      <w:r w:rsidRPr="00FE3EDE">
        <w:rPr>
          <w:rFonts w:ascii="Times New Roman" w:hAnsi="Times New Roman" w:cs="Times New Roman"/>
          <w:i/>
          <w:iCs/>
          <w:sz w:val="28"/>
          <w:szCs w:val="28"/>
          <w:lang w:val="en-US"/>
        </w:rPr>
        <w:t>Scientific supervisor</w:t>
      </w:r>
    </w:p>
    <w:p w14:paraId="06E6D5A6" w14:textId="77777777" w:rsidR="00FE3EDE" w:rsidRPr="00FE3EDE" w:rsidRDefault="00FE3EDE" w:rsidP="00FE3EDE">
      <w:pPr>
        <w:spacing w:after="0" w:line="360" w:lineRule="auto"/>
        <w:ind w:firstLine="567"/>
        <w:jc w:val="right"/>
        <w:rPr>
          <w:rFonts w:ascii="Times New Roman" w:hAnsi="Times New Roman" w:cs="Times New Roman"/>
          <w:b/>
          <w:bCs/>
          <w:sz w:val="28"/>
          <w:szCs w:val="28"/>
          <w:lang w:val="en-US"/>
        </w:rPr>
      </w:pPr>
      <w:r w:rsidRPr="00594DC2">
        <w:rPr>
          <w:rFonts w:ascii="Times New Roman" w:hAnsi="Times New Roman" w:cs="Times New Roman"/>
          <w:b/>
          <w:bCs/>
          <w:sz w:val="28"/>
          <w:szCs w:val="28"/>
          <w:lang w:val="en-US"/>
        </w:rPr>
        <w:t>BRYKOVA SVETLANA SERGEEVNA</w:t>
      </w:r>
    </w:p>
    <w:p w14:paraId="609EF933" w14:textId="77777777" w:rsidR="00FE3EDE" w:rsidRPr="005414C6" w:rsidRDefault="00FE3EDE" w:rsidP="00FE3EDE">
      <w:pPr>
        <w:spacing w:after="0" w:line="360" w:lineRule="auto"/>
        <w:ind w:firstLine="567"/>
        <w:jc w:val="right"/>
        <w:rPr>
          <w:rFonts w:ascii="Times New Roman" w:hAnsi="Times New Roman" w:cs="Times New Roman"/>
          <w:bCs/>
          <w:i/>
          <w:sz w:val="28"/>
          <w:szCs w:val="28"/>
          <w:lang w:val="en-US"/>
        </w:rPr>
      </w:pPr>
      <w:r w:rsidRPr="005414C6">
        <w:rPr>
          <w:rFonts w:ascii="Times New Roman" w:hAnsi="Times New Roman" w:cs="Times New Roman"/>
          <w:bCs/>
          <w:i/>
          <w:sz w:val="28"/>
          <w:szCs w:val="28"/>
          <w:lang w:val="en-US"/>
        </w:rPr>
        <w:t>Senior lecturer</w:t>
      </w:r>
    </w:p>
    <w:p w14:paraId="4DCB06B3" w14:textId="77777777" w:rsidR="00FE3EDE" w:rsidRDefault="00FE3EDE" w:rsidP="00FE3EDE">
      <w:pPr>
        <w:spacing w:after="0" w:line="360" w:lineRule="auto"/>
        <w:ind w:firstLine="567"/>
        <w:jc w:val="right"/>
        <w:rPr>
          <w:rFonts w:ascii="Times New Roman" w:hAnsi="Times New Roman" w:cs="Times New Roman"/>
          <w:i/>
          <w:iCs/>
          <w:sz w:val="28"/>
          <w:szCs w:val="28"/>
        </w:rPr>
      </w:pPr>
      <w:proofErr w:type="spellStart"/>
      <w:r w:rsidRPr="005414C6">
        <w:rPr>
          <w:rFonts w:ascii="Times New Roman" w:hAnsi="Times New Roman" w:cs="Times New Roman"/>
          <w:i/>
          <w:iCs/>
          <w:sz w:val="28"/>
          <w:szCs w:val="28"/>
          <w:lang w:val="en-US"/>
        </w:rPr>
        <w:t>Banzarov</w:t>
      </w:r>
      <w:proofErr w:type="spellEnd"/>
      <w:r w:rsidRPr="005414C6">
        <w:rPr>
          <w:rFonts w:ascii="Times New Roman" w:hAnsi="Times New Roman" w:cs="Times New Roman"/>
          <w:i/>
          <w:iCs/>
          <w:sz w:val="28"/>
          <w:szCs w:val="28"/>
          <w:lang w:val="en-US"/>
        </w:rPr>
        <w:t xml:space="preserve"> </w:t>
      </w:r>
      <w:proofErr w:type="spellStart"/>
      <w:r w:rsidRPr="005414C6">
        <w:rPr>
          <w:rFonts w:ascii="Times New Roman" w:hAnsi="Times New Roman" w:cs="Times New Roman"/>
          <w:i/>
          <w:iCs/>
          <w:sz w:val="28"/>
          <w:szCs w:val="28"/>
          <w:lang w:val="en-US"/>
        </w:rPr>
        <w:t>Buryat</w:t>
      </w:r>
      <w:proofErr w:type="spellEnd"/>
      <w:r w:rsidRPr="005414C6">
        <w:rPr>
          <w:rFonts w:ascii="Times New Roman" w:hAnsi="Times New Roman" w:cs="Times New Roman"/>
          <w:i/>
          <w:iCs/>
          <w:sz w:val="28"/>
          <w:szCs w:val="28"/>
          <w:lang w:val="en-US"/>
        </w:rPr>
        <w:t xml:space="preserve"> State University</w:t>
      </w:r>
    </w:p>
    <w:p w14:paraId="408EF9BE" w14:textId="77777777" w:rsidR="00FE3EDE" w:rsidRDefault="00FE3EDE" w:rsidP="00CC4D2D">
      <w:pPr>
        <w:spacing w:after="0" w:line="360" w:lineRule="auto"/>
        <w:ind w:firstLine="567"/>
        <w:jc w:val="both"/>
        <w:rPr>
          <w:rFonts w:ascii="Times New Roman" w:hAnsi="Times New Roman" w:cs="Times New Roman"/>
          <w:b/>
          <w:bCs/>
          <w:sz w:val="28"/>
          <w:szCs w:val="28"/>
        </w:rPr>
      </w:pPr>
    </w:p>
    <w:p w14:paraId="189527E0" w14:textId="4A5C60E4" w:rsidR="00CC4D2D" w:rsidRPr="00CC4D2D" w:rsidRDefault="00CC4D2D" w:rsidP="00CC4D2D">
      <w:pPr>
        <w:spacing w:after="0" w:line="360" w:lineRule="auto"/>
        <w:ind w:firstLine="567"/>
        <w:jc w:val="both"/>
        <w:rPr>
          <w:rFonts w:ascii="Times New Roman" w:hAnsi="Times New Roman" w:cs="Times New Roman"/>
          <w:i/>
          <w:iCs/>
          <w:sz w:val="28"/>
          <w:szCs w:val="28"/>
        </w:rPr>
      </w:pPr>
      <w:r w:rsidRPr="00CC4D2D">
        <w:rPr>
          <w:rFonts w:ascii="Times New Roman" w:hAnsi="Times New Roman" w:cs="Times New Roman"/>
          <w:i/>
          <w:iCs/>
          <w:sz w:val="28"/>
          <w:szCs w:val="28"/>
        </w:rPr>
        <w:t>Аннотация.</w:t>
      </w:r>
      <w:r>
        <w:rPr>
          <w:rFonts w:ascii="Times New Roman" w:hAnsi="Times New Roman" w:cs="Times New Roman"/>
          <w:i/>
          <w:iCs/>
          <w:sz w:val="28"/>
          <w:szCs w:val="28"/>
        </w:rPr>
        <w:t xml:space="preserve"> Статья посвящена </w:t>
      </w:r>
      <w:r w:rsidRPr="00CC4D2D">
        <w:rPr>
          <w:rFonts w:ascii="Times New Roman" w:hAnsi="Times New Roman" w:cs="Times New Roman"/>
          <w:i/>
          <w:iCs/>
          <w:sz w:val="28"/>
          <w:szCs w:val="28"/>
        </w:rPr>
        <w:t>анализу</w:t>
      </w:r>
      <w:r>
        <w:rPr>
          <w:rFonts w:ascii="Times New Roman" w:hAnsi="Times New Roman" w:cs="Times New Roman"/>
          <w:i/>
          <w:iCs/>
          <w:sz w:val="28"/>
          <w:szCs w:val="28"/>
        </w:rPr>
        <w:t xml:space="preserve"> современного рынка кредитных карт в России с учетом динамики выпуска кредитных карт, изменения структуры спроса и поведения заемщиков разных возрастных групп. Рассматриваются ключевые тенденции развития кредитных карт, включая цифровизации, усиления конкуренции между банками и расширения сегмента безналичных платежей.  Особое внимание уделено рискам финансового мошенничества, связанных с ростом онлайн-операций, </w:t>
      </w:r>
      <w:r w:rsidR="006E18DD">
        <w:rPr>
          <w:rFonts w:ascii="Times New Roman" w:hAnsi="Times New Roman" w:cs="Times New Roman"/>
          <w:i/>
          <w:iCs/>
          <w:sz w:val="28"/>
          <w:szCs w:val="28"/>
        </w:rPr>
        <w:t>а также</w:t>
      </w:r>
      <w:r>
        <w:rPr>
          <w:rFonts w:ascii="Times New Roman" w:hAnsi="Times New Roman" w:cs="Times New Roman"/>
          <w:i/>
          <w:iCs/>
          <w:sz w:val="28"/>
          <w:szCs w:val="28"/>
        </w:rPr>
        <w:t xml:space="preserve"> мотива выбора кредитных продуктов населением. </w:t>
      </w:r>
    </w:p>
    <w:p w14:paraId="2D27771F" w14:textId="198E65CC" w:rsidR="00CC4D2D" w:rsidRPr="00CC4D2D" w:rsidRDefault="00CC4D2D" w:rsidP="00CC4D2D">
      <w:pPr>
        <w:spacing w:after="0" w:line="360" w:lineRule="auto"/>
        <w:ind w:firstLine="567"/>
        <w:jc w:val="both"/>
        <w:rPr>
          <w:rFonts w:ascii="Times New Roman" w:hAnsi="Times New Roman" w:cs="Times New Roman"/>
          <w:i/>
          <w:iCs/>
          <w:sz w:val="28"/>
          <w:szCs w:val="28"/>
          <w:lang w:val="en-US"/>
        </w:rPr>
      </w:pPr>
      <w:r w:rsidRPr="00CC4D2D">
        <w:rPr>
          <w:rFonts w:ascii="Times New Roman" w:hAnsi="Times New Roman" w:cs="Times New Roman"/>
          <w:i/>
          <w:iCs/>
          <w:sz w:val="28"/>
          <w:szCs w:val="28"/>
          <w:lang w:val="en-US"/>
        </w:rPr>
        <w:t xml:space="preserve">Abstract. </w:t>
      </w:r>
      <w:r w:rsidR="00B57F38" w:rsidRPr="00B57F38">
        <w:rPr>
          <w:rFonts w:ascii="Times New Roman" w:hAnsi="Times New Roman" w:cs="Times New Roman"/>
          <w:i/>
          <w:iCs/>
          <w:sz w:val="28"/>
          <w:szCs w:val="28"/>
          <w:lang w:val="en-US"/>
        </w:rPr>
        <w:t xml:space="preserve">The article analyzes the current market of credit cards in Russia, taking into account the dynamics of credit card issuance, changes in the demand structure, and the behavior of borrowers from different age groups. It examines key </w:t>
      </w:r>
      <w:r w:rsidR="00B57F38" w:rsidRPr="00B57F38">
        <w:rPr>
          <w:rFonts w:ascii="Times New Roman" w:hAnsi="Times New Roman" w:cs="Times New Roman"/>
          <w:i/>
          <w:iCs/>
          <w:sz w:val="28"/>
          <w:szCs w:val="28"/>
          <w:lang w:val="en-US"/>
        </w:rPr>
        <w:lastRenderedPageBreak/>
        <w:t>trends in the development of credit cards, including digitalization, increased competition between banks, and the expansion of the cashless payment segment. Special attention is given to the risks of financial fraud associated with the growth of online transactions, as well as the motivation behind the choice of credit products by the population.</w:t>
      </w:r>
    </w:p>
    <w:p w14:paraId="5E11A352" w14:textId="1B5A72F7" w:rsidR="00CC4D2D" w:rsidRPr="00CC4D2D" w:rsidRDefault="00CC4D2D" w:rsidP="00CC4D2D">
      <w:pPr>
        <w:spacing w:after="0" w:line="360" w:lineRule="auto"/>
        <w:ind w:firstLine="567"/>
        <w:jc w:val="both"/>
        <w:rPr>
          <w:rFonts w:ascii="Times New Roman" w:hAnsi="Times New Roman" w:cs="Times New Roman"/>
          <w:b/>
          <w:bCs/>
          <w:i/>
          <w:iCs/>
          <w:sz w:val="28"/>
          <w:szCs w:val="28"/>
        </w:rPr>
      </w:pPr>
      <w:r w:rsidRPr="00CC4D2D">
        <w:rPr>
          <w:rFonts w:ascii="Times New Roman" w:hAnsi="Times New Roman" w:cs="Times New Roman"/>
          <w:b/>
          <w:bCs/>
          <w:i/>
          <w:iCs/>
          <w:sz w:val="28"/>
          <w:szCs w:val="28"/>
        </w:rPr>
        <w:t xml:space="preserve">Ключевые слова: </w:t>
      </w:r>
      <w:r w:rsidR="00B57F38" w:rsidRPr="00B57F38">
        <w:rPr>
          <w:rFonts w:ascii="Times New Roman" w:hAnsi="Times New Roman" w:cs="Times New Roman"/>
          <w:i/>
          <w:iCs/>
          <w:sz w:val="28"/>
          <w:szCs w:val="28"/>
        </w:rPr>
        <w:t>кредитные карты, безналичные платежи, цифровизация, банковские услуги.</w:t>
      </w:r>
    </w:p>
    <w:p w14:paraId="4F75892B" w14:textId="4C556699" w:rsidR="00846C5B" w:rsidRPr="00B57F38" w:rsidRDefault="00CC4D2D" w:rsidP="00CC4D2D">
      <w:pPr>
        <w:spacing w:after="0" w:line="360" w:lineRule="auto"/>
        <w:ind w:firstLine="567"/>
        <w:jc w:val="both"/>
        <w:rPr>
          <w:rFonts w:ascii="Times New Roman" w:hAnsi="Times New Roman" w:cs="Times New Roman"/>
          <w:i/>
          <w:iCs/>
          <w:sz w:val="28"/>
          <w:szCs w:val="28"/>
          <w:lang w:val="en-US"/>
        </w:rPr>
      </w:pPr>
      <w:r w:rsidRPr="00CC4D2D">
        <w:rPr>
          <w:rFonts w:ascii="Times New Roman" w:hAnsi="Times New Roman" w:cs="Times New Roman"/>
          <w:b/>
          <w:bCs/>
          <w:i/>
          <w:iCs/>
          <w:sz w:val="28"/>
          <w:szCs w:val="28"/>
          <w:lang w:val="en-US"/>
        </w:rPr>
        <w:t>Key</w:t>
      </w:r>
      <w:r w:rsidRPr="00B57F38">
        <w:rPr>
          <w:rFonts w:ascii="Times New Roman" w:hAnsi="Times New Roman" w:cs="Times New Roman"/>
          <w:b/>
          <w:bCs/>
          <w:i/>
          <w:iCs/>
          <w:sz w:val="28"/>
          <w:szCs w:val="28"/>
          <w:lang w:val="en-US"/>
        </w:rPr>
        <w:t xml:space="preserve"> </w:t>
      </w:r>
      <w:r w:rsidRPr="00CC4D2D">
        <w:rPr>
          <w:rFonts w:ascii="Times New Roman" w:hAnsi="Times New Roman" w:cs="Times New Roman"/>
          <w:b/>
          <w:bCs/>
          <w:i/>
          <w:iCs/>
          <w:sz w:val="28"/>
          <w:szCs w:val="28"/>
          <w:lang w:val="en-US"/>
        </w:rPr>
        <w:t>words</w:t>
      </w:r>
      <w:r w:rsidRPr="00B57F38">
        <w:rPr>
          <w:rFonts w:ascii="Times New Roman" w:hAnsi="Times New Roman" w:cs="Times New Roman"/>
          <w:b/>
          <w:bCs/>
          <w:i/>
          <w:iCs/>
          <w:sz w:val="28"/>
          <w:szCs w:val="28"/>
          <w:lang w:val="en-US"/>
        </w:rPr>
        <w:t xml:space="preserve">: </w:t>
      </w:r>
      <w:r w:rsidR="00B57F38" w:rsidRPr="00B57F38">
        <w:rPr>
          <w:rFonts w:ascii="Times New Roman" w:hAnsi="Times New Roman" w:cs="Times New Roman"/>
          <w:i/>
          <w:iCs/>
          <w:sz w:val="28"/>
          <w:szCs w:val="28"/>
          <w:lang w:val="en-US"/>
        </w:rPr>
        <w:t>credit cards, cashless payments, digitalization, and banking services.</w:t>
      </w:r>
    </w:p>
    <w:p w14:paraId="32DE78E7" w14:textId="05E2E758" w:rsidR="00CC4D2D" w:rsidRDefault="00CC4D2D" w:rsidP="00CC4D2D">
      <w:pPr>
        <w:spacing w:after="0" w:line="360" w:lineRule="auto"/>
        <w:ind w:firstLine="567"/>
        <w:jc w:val="both"/>
        <w:rPr>
          <w:rFonts w:ascii="Times New Roman" w:hAnsi="Times New Roman" w:cs="Times New Roman"/>
          <w:sz w:val="28"/>
          <w:szCs w:val="28"/>
        </w:rPr>
      </w:pPr>
      <w:proofErr w:type="gramStart"/>
      <w:r>
        <w:rPr>
          <w:rFonts w:ascii="Times New Roman" w:hAnsi="Times New Roman" w:cs="Times New Roman"/>
          <w:sz w:val="28"/>
          <w:szCs w:val="28"/>
        </w:rPr>
        <w:t>Рынок кредитных карт за последние годы стал одним из наиболее динамично развивающихся сегмента финансовых услуг, отражая значительные изменения в структуре потребительского поведения, уровне цифровизации платежных процессов и стратегии банковского сектора.</w:t>
      </w:r>
      <w:proofErr w:type="gramEnd"/>
      <w:r>
        <w:rPr>
          <w:rFonts w:ascii="Times New Roman" w:hAnsi="Times New Roman" w:cs="Times New Roman"/>
          <w:sz w:val="28"/>
          <w:szCs w:val="28"/>
        </w:rPr>
        <w:t xml:space="preserve"> С активным развитием цифровых сервисов и ростом доверия населения к дистанционным финансовым операциям кредитные карты превратились из дополнительного </w:t>
      </w:r>
      <w:r w:rsidR="006E18DD">
        <w:rPr>
          <w:rFonts w:ascii="Times New Roman" w:hAnsi="Times New Roman" w:cs="Times New Roman"/>
          <w:sz w:val="28"/>
          <w:szCs w:val="28"/>
        </w:rPr>
        <w:t>инструмента</w:t>
      </w:r>
      <w:r>
        <w:rPr>
          <w:rFonts w:ascii="Times New Roman" w:hAnsi="Times New Roman" w:cs="Times New Roman"/>
          <w:sz w:val="28"/>
          <w:szCs w:val="28"/>
        </w:rPr>
        <w:t xml:space="preserve"> в полноценный элемент повседневных платежей. Банки, в свою очередь, стремятся расширять предложения в этой сфере, адаптируя новые продукты под требования оперативности и удобства. </w:t>
      </w:r>
    </w:p>
    <w:p w14:paraId="26076AAA" w14:textId="03AC5C41" w:rsidR="00DC15D0" w:rsidRDefault="00DC15D0" w:rsidP="00CC4D2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начала рассмотрим статистические данные Центрального Банка. </w:t>
      </w:r>
    </w:p>
    <w:p w14:paraId="1145A2D4" w14:textId="6B3233DF" w:rsidR="00846C5B" w:rsidRDefault="00846C5B" w:rsidP="00F023CC">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FFCF3B6" wp14:editId="296C2C44">
            <wp:extent cx="6197600" cy="3289300"/>
            <wp:effectExtent l="0" t="0" r="12700" b="6350"/>
            <wp:docPr id="1226513489"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3ACF3C95" w14:textId="649293EC" w:rsidR="00123F6B" w:rsidRPr="00DC15D0" w:rsidRDefault="00DC15D0" w:rsidP="00E602F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Рис. 1. </w:t>
      </w:r>
      <w:r w:rsidR="00846C5B">
        <w:rPr>
          <w:rFonts w:ascii="Times New Roman" w:hAnsi="Times New Roman" w:cs="Times New Roman"/>
          <w:sz w:val="28"/>
          <w:szCs w:val="28"/>
        </w:rPr>
        <w:t>Количество кредитных карт, выпущенных кредитными организациями, тыс. ед</w:t>
      </w:r>
      <w:r w:rsidR="00F023CC">
        <w:rPr>
          <w:rFonts w:ascii="Times New Roman" w:hAnsi="Times New Roman" w:cs="Times New Roman"/>
          <w:sz w:val="28"/>
          <w:szCs w:val="28"/>
        </w:rPr>
        <w:t>.</w:t>
      </w:r>
      <w:r>
        <w:rPr>
          <w:rFonts w:ascii="Times New Roman" w:hAnsi="Times New Roman" w:cs="Times New Roman"/>
          <w:sz w:val="28"/>
          <w:szCs w:val="28"/>
        </w:rPr>
        <w:t xml:space="preserve"> </w:t>
      </w:r>
      <w:r w:rsidRPr="00DC15D0">
        <w:rPr>
          <w:rFonts w:ascii="Times New Roman" w:hAnsi="Times New Roman" w:cs="Times New Roman"/>
          <w:sz w:val="28"/>
          <w:szCs w:val="28"/>
        </w:rPr>
        <w:t>[</w:t>
      </w:r>
      <w:r>
        <w:rPr>
          <w:rFonts w:ascii="Times New Roman" w:hAnsi="Times New Roman" w:cs="Times New Roman"/>
          <w:sz w:val="28"/>
          <w:szCs w:val="28"/>
          <w:lang w:val="en-US"/>
        </w:rPr>
        <w:fldChar w:fldCharType="begin"/>
      </w:r>
      <w:r w:rsidRPr="00DC15D0">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REF</w:instrText>
      </w:r>
      <w:r w:rsidRPr="00DC15D0">
        <w:rPr>
          <w:rFonts w:ascii="Times New Roman" w:hAnsi="Times New Roman" w:cs="Times New Roman"/>
          <w:sz w:val="28"/>
          <w:szCs w:val="28"/>
        </w:rPr>
        <w:instrText xml:space="preserve"> _</w:instrText>
      </w:r>
      <w:r>
        <w:rPr>
          <w:rFonts w:ascii="Times New Roman" w:hAnsi="Times New Roman" w:cs="Times New Roman"/>
          <w:sz w:val="28"/>
          <w:szCs w:val="28"/>
          <w:lang w:val="en-US"/>
        </w:rPr>
        <w:instrText>Ref</w:instrText>
      </w:r>
      <w:r w:rsidRPr="00DC15D0">
        <w:rPr>
          <w:rFonts w:ascii="Times New Roman" w:hAnsi="Times New Roman" w:cs="Times New Roman"/>
          <w:sz w:val="28"/>
          <w:szCs w:val="28"/>
        </w:rPr>
        <w:instrText>214895786 \</w:instrText>
      </w:r>
      <w:r>
        <w:rPr>
          <w:rFonts w:ascii="Times New Roman" w:hAnsi="Times New Roman" w:cs="Times New Roman"/>
          <w:sz w:val="28"/>
          <w:szCs w:val="28"/>
          <w:lang w:val="en-US"/>
        </w:rPr>
        <w:instrText>r</w:instrText>
      </w:r>
      <w:r w:rsidRPr="00DC15D0">
        <w:rPr>
          <w:rFonts w:ascii="Times New Roman" w:hAnsi="Times New Roman" w:cs="Times New Roman"/>
          <w:sz w:val="28"/>
          <w:szCs w:val="28"/>
        </w:rPr>
        <w:instrText xml:space="preserve"> \</w:instrText>
      </w:r>
      <w:r>
        <w:rPr>
          <w:rFonts w:ascii="Times New Roman" w:hAnsi="Times New Roman" w:cs="Times New Roman"/>
          <w:sz w:val="28"/>
          <w:szCs w:val="28"/>
          <w:lang w:val="en-US"/>
        </w:rPr>
        <w:instrText>h</w:instrText>
      </w:r>
      <w:r w:rsidRPr="00DC15D0">
        <w:rPr>
          <w:rFonts w:ascii="Times New Roman" w:hAnsi="Times New Roman" w:cs="Times New Roman"/>
          <w:sz w:val="28"/>
          <w:szCs w:val="28"/>
        </w:rPr>
        <w:instrText xml:space="preserve"> </w:instrText>
      </w:r>
      <w:r>
        <w:rPr>
          <w:rFonts w:ascii="Times New Roman" w:hAnsi="Times New Roman" w:cs="Times New Roman"/>
          <w:sz w:val="28"/>
          <w:szCs w:val="28"/>
          <w:lang w:val="en-US"/>
        </w:rPr>
      </w:r>
      <w:r>
        <w:rPr>
          <w:rFonts w:ascii="Times New Roman" w:hAnsi="Times New Roman" w:cs="Times New Roman"/>
          <w:sz w:val="28"/>
          <w:szCs w:val="28"/>
          <w:lang w:val="en-US"/>
        </w:rPr>
        <w:fldChar w:fldCharType="separate"/>
      </w:r>
      <w:r w:rsidRPr="00DC15D0">
        <w:rPr>
          <w:rFonts w:ascii="Times New Roman" w:hAnsi="Times New Roman" w:cs="Times New Roman"/>
          <w:sz w:val="28"/>
          <w:szCs w:val="28"/>
        </w:rPr>
        <w:t>5</w:t>
      </w:r>
      <w:r>
        <w:rPr>
          <w:rFonts w:ascii="Times New Roman" w:hAnsi="Times New Roman" w:cs="Times New Roman"/>
          <w:sz w:val="28"/>
          <w:szCs w:val="28"/>
          <w:lang w:val="en-US"/>
        </w:rPr>
        <w:fldChar w:fldCharType="end"/>
      </w:r>
      <w:r w:rsidRPr="00DC15D0">
        <w:rPr>
          <w:rFonts w:ascii="Times New Roman" w:hAnsi="Times New Roman" w:cs="Times New Roman"/>
          <w:sz w:val="28"/>
          <w:szCs w:val="28"/>
        </w:rPr>
        <w:t>]</w:t>
      </w:r>
    </w:p>
    <w:p w14:paraId="4FFCCBBB" w14:textId="6C0636B2" w:rsidR="00E602FC" w:rsidRDefault="00E602FC" w:rsidP="00E602FC">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Динамика выпуска кредитных карт банками с 2020 г. до 2024 г. характеризует прирост более чем на 46%. Особенно значимым оказался этап ускоренного роста в </w:t>
      </w:r>
      <w:r w:rsidR="000E7E6F">
        <w:rPr>
          <w:rFonts w:ascii="Times New Roman" w:hAnsi="Times New Roman" w:cs="Times New Roman"/>
          <w:sz w:val="28"/>
          <w:szCs w:val="28"/>
        </w:rPr>
        <w:t>2023-2024 гг.</w:t>
      </w:r>
      <w:r>
        <w:rPr>
          <w:rFonts w:ascii="Times New Roman" w:hAnsi="Times New Roman" w:cs="Times New Roman"/>
          <w:sz w:val="28"/>
          <w:szCs w:val="28"/>
        </w:rPr>
        <w:t xml:space="preserve">, когда выпуск увеличился на 15% за год, </w:t>
      </w:r>
      <w:r w:rsidR="000E7E6F">
        <w:rPr>
          <w:rFonts w:ascii="Times New Roman" w:hAnsi="Times New Roman" w:cs="Times New Roman"/>
          <w:sz w:val="28"/>
          <w:szCs w:val="28"/>
        </w:rPr>
        <w:t xml:space="preserve">связанными с цифровизацией финансовых услуг, улучшением финансовой грамотности среди населения, распространением виртуальных кредитных карт. Таким образом, активно наращивание темпов кредитных карт говорит </w:t>
      </w:r>
      <w:proofErr w:type="gramStart"/>
      <w:r w:rsidR="000E7E6F">
        <w:rPr>
          <w:rFonts w:ascii="Times New Roman" w:hAnsi="Times New Roman" w:cs="Times New Roman"/>
          <w:sz w:val="28"/>
          <w:szCs w:val="28"/>
        </w:rPr>
        <w:t>о</w:t>
      </w:r>
      <w:proofErr w:type="gramEnd"/>
      <w:r w:rsidR="000E7E6F">
        <w:rPr>
          <w:rFonts w:ascii="Times New Roman" w:hAnsi="Times New Roman" w:cs="Times New Roman"/>
          <w:sz w:val="28"/>
          <w:szCs w:val="28"/>
        </w:rPr>
        <w:t xml:space="preserve"> изменениях поведения клиентов, где предпочтение отдается удобству и скорости транзакций.  </w:t>
      </w:r>
    </w:p>
    <w:p w14:paraId="4F0702E9" w14:textId="76FF4A38" w:rsidR="004F2D50" w:rsidRDefault="004F2D50" w:rsidP="00F023CC">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FA75353" wp14:editId="4D285DDD">
            <wp:extent cx="6038850" cy="2476500"/>
            <wp:effectExtent l="0" t="0" r="0" b="0"/>
            <wp:docPr id="1788768736"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5B077424" w14:textId="0CB499ED" w:rsidR="004F2D50" w:rsidRPr="00DC15D0" w:rsidRDefault="004F2D50" w:rsidP="00123F6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Рис. </w:t>
      </w:r>
      <w:r w:rsidR="00DC15D0">
        <w:rPr>
          <w:rFonts w:ascii="Times New Roman" w:hAnsi="Times New Roman" w:cs="Times New Roman"/>
          <w:sz w:val="28"/>
          <w:szCs w:val="28"/>
        </w:rPr>
        <w:t xml:space="preserve">2. </w:t>
      </w:r>
      <w:r>
        <w:rPr>
          <w:rFonts w:ascii="Times New Roman" w:hAnsi="Times New Roman" w:cs="Times New Roman"/>
          <w:sz w:val="28"/>
          <w:szCs w:val="28"/>
        </w:rPr>
        <w:t xml:space="preserve">Структура </w:t>
      </w:r>
      <w:r w:rsidR="00736F27">
        <w:rPr>
          <w:rFonts w:ascii="Times New Roman" w:hAnsi="Times New Roman" w:cs="Times New Roman"/>
          <w:sz w:val="28"/>
          <w:szCs w:val="28"/>
        </w:rPr>
        <w:t xml:space="preserve">банковских </w:t>
      </w:r>
      <w:r>
        <w:rPr>
          <w:rFonts w:ascii="Times New Roman" w:hAnsi="Times New Roman" w:cs="Times New Roman"/>
          <w:sz w:val="28"/>
          <w:szCs w:val="28"/>
        </w:rPr>
        <w:t xml:space="preserve">карт, выпущенных кредитными организациями на 01.01.2024 г., % </w:t>
      </w:r>
      <w:r w:rsidR="00DC15D0" w:rsidRPr="00DC15D0">
        <w:rPr>
          <w:rFonts w:ascii="Times New Roman" w:hAnsi="Times New Roman" w:cs="Times New Roman"/>
          <w:sz w:val="28"/>
          <w:szCs w:val="28"/>
        </w:rPr>
        <w:t>[</w:t>
      </w:r>
      <w:r w:rsidR="00DC15D0">
        <w:rPr>
          <w:rFonts w:ascii="Times New Roman" w:hAnsi="Times New Roman" w:cs="Times New Roman"/>
          <w:sz w:val="28"/>
          <w:szCs w:val="28"/>
        </w:rPr>
        <w:fldChar w:fldCharType="begin"/>
      </w:r>
      <w:r w:rsidR="00DC15D0">
        <w:rPr>
          <w:rFonts w:ascii="Times New Roman" w:hAnsi="Times New Roman" w:cs="Times New Roman"/>
          <w:sz w:val="28"/>
          <w:szCs w:val="28"/>
        </w:rPr>
        <w:instrText xml:space="preserve"> REF _Ref214895824 \r \h </w:instrText>
      </w:r>
      <w:r w:rsidR="00DC15D0">
        <w:rPr>
          <w:rFonts w:ascii="Times New Roman" w:hAnsi="Times New Roman" w:cs="Times New Roman"/>
          <w:sz w:val="28"/>
          <w:szCs w:val="28"/>
        </w:rPr>
      </w:r>
      <w:r w:rsidR="00DC15D0">
        <w:rPr>
          <w:rFonts w:ascii="Times New Roman" w:hAnsi="Times New Roman" w:cs="Times New Roman"/>
          <w:sz w:val="28"/>
          <w:szCs w:val="28"/>
        </w:rPr>
        <w:fldChar w:fldCharType="separate"/>
      </w:r>
      <w:r w:rsidR="00DC15D0">
        <w:rPr>
          <w:rFonts w:ascii="Times New Roman" w:hAnsi="Times New Roman" w:cs="Times New Roman"/>
          <w:sz w:val="28"/>
          <w:szCs w:val="28"/>
        </w:rPr>
        <w:t>6</w:t>
      </w:r>
      <w:r w:rsidR="00DC15D0">
        <w:rPr>
          <w:rFonts w:ascii="Times New Roman" w:hAnsi="Times New Roman" w:cs="Times New Roman"/>
          <w:sz w:val="28"/>
          <w:szCs w:val="28"/>
        </w:rPr>
        <w:fldChar w:fldCharType="end"/>
      </w:r>
      <w:r w:rsidR="00DC15D0" w:rsidRPr="00DC15D0">
        <w:rPr>
          <w:rFonts w:ascii="Times New Roman" w:hAnsi="Times New Roman" w:cs="Times New Roman"/>
          <w:sz w:val="28"/>
          <w:szCs w:val="28"/>
        </w:rPr>
        <w:t>]</w:t>
      </w:r>
    </w:p>
    <w:p w14:paraId="55161D5E" w14:textId="0EB92BFE" w:rsidR="00736F27" w:rsidRDefault="00736F27" w:rsidP="00DC15D0">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Наибольшую долю в структуре банковских карт занимают расчетные карты, удельный </w:t>
      </w:r>
      <w:proofErr w:type="gramStart"/>
      <w:r>
        <w:rPr>
          <w:rFonts w:ascii="Times New Roman" w:hAnsi="Times New Roman" w:cs="Times New Roman"/>
          <w:sz w:val="28"/>
          <w:szCs w:val="28"/>
        </w:rPr>
        <w:t>вес</w:t>
      </w:r>
      <w:proofErr w:type="gramEnd"/>
      <w:r>
        <w:rPr>
          <w:rFonts w:ascii="Times New Roman" w:hAnsi="Times New Roman" w:cs="Times New Roman"/>
          <w:sz w:val="28"/>
          <w:szCs w:val="28"/>
        </w:rPr>
        <w:t xml:space="preserve"> которого составляет 88% от общего объема выпущенных продуктов. </w:t>
      </w:r>
      <w:proofErr w:type="gramStart"/>
      <w:r>
        <w:rPr>
          <w:rFonts w:ascii="Times New Roman" w:hAnsi="Times New Roman" w:cs="Times New Roman"/>
          <w:sz w:val="28"/>
          <w:szCs w:val="28"/>
        </w:rPr>
        <w:t>Кредитные</w:t>
      </w:r>
      <w:proofErr w:type="gramEnd"/>
      <w:r>
        <w:rPr>
          <w:rFonts w:ascii="Times New Roman" w:hAnsi="Times New Roman" w:cs="Times New Roman"/>
          <w:sz w:val="28"/>
          <w:szCs w:val="28"/>
        </w:rPr>
        <w:t xml:space="preserve"> карт составляют лишь 12% рынка</w:t>
      </w:r>
      <w:r w:rsidR="000E7E6F">
        <w:rPr>
          <w:rFonts w:ascii="Times New Roman" w:hAnsi="Times New Roman" w:cs="Times New Roman"/>
          <w:sz w:val="28"/>
          <w:szCs w:val="28"/>
        </w:rPr>
        <w:t xml:space="preserve">. Таким образом, традиционно расчетные карты значительно преобладают над </w:t>
      </w:r>
      <w:proofErr w:type="gramStart"/>
      <w:r w:rsidR="000E7E6F">
        <w:rPr>
          <w:rFonts w:ascii="Times New Roman" w:hAnsi="Times New Roman" w:cs="Times New Roman"/>
          <w:sz w:val="28"/>
          <w:szCs w:val="28"/>
        </w:rPr>
        <w:t>кредитными</w:t>
      </w:r>
      <w:proofErr w:type="gramEnd"/>
      <w:r w:rsidR="000E7E6F">
        <w:rPr>
          <w:rFonts w:ascii="Times New Roman" w:hAnsi="Times New Roman" w:cs="Times New Roman"/>
          <w:sz w:val="28"/>
          <w:szCs w:val="28"/>
        </w:rPr>
        <w:t xml:space="preserve">. </w:t>
      </w:r>
    </w:p>
    <w:p w14:paraId="27724F1F" w14:textId="1ECC9DFF" w:rsidR="00846C5B" w:rsidRDefault="00E602FC" w:rsidP="00E602FC">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2AD60745" wp14:editId="37672408">
            <wp:extent cx="6070600" cy="3190875"/>
            <wp:effectExtent l="0" t="0" r="6350" b="9525"/>
            <wp:docPr id="913843089"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EAE7478" w14:textId="2B4B4F42" w:rsidR="00E602FC" w:rsidRPr="00DC15D0" w:rsidRDefault="000B330E" w:rsidP="000B330E">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Рис. </w:t>
      </w:r>
      <w:r w:rsidR="00DC15D0">
        <w:rPr>
          <w:rFonts w:ascii="Times New Roman" w:hAnsi="Times New Roman" w:cs="Times New Roman"/>
          <w:sz w:val="28"/>
          <w:szCs w:val="28"/>
        </w:rPr>
        <w:t xml:space="preserve">3. </w:t>
      </w:r>
      <w:r>
        <w:rPr>
          <w:rFonts w:ascii="Times New Roman" w:hAnsi="Times New Roman" w:cs="Times New Roman"/>
          <w:sz w:val="28"/>
          <w:szCs w:val="28"/>
        </w:rPr>
        <w:t>Распределение заемщиков кредитных карт и кредитов наличными, млн. чел.</w:t>
      </w:r>
      <w:r w:rsidR="00DC15D0" w:rsidRPr="00DC15D0">
        <w:rPr>
          <w:rFonts w:ascii="Times New Roman" w:hAnsi="Times New Roman" w:cs="Times New Roman"/>
          <w:sz w:val="28"/>
          <w:szCs w:val="28"/>
        </w:rPr>
        <w:t xml:space="preserve"> [</w:t>
      </w:r>
      <w:r w:rsidR="00DC15D0">
        <w:rPr>
          <w:rFonts w:ascii="Times New Roman" w:hAnsi="Times New Roman" w:cs="Times New Roman"/>
          <w:sz w:val="28"/>
          <w:szCs w:val="28"/>
        </w:rPr>
        <w:fldChar w:fldCharType="begin"/>
      </w:r>
      <w:r w:rsidR="00DC15D0">
        <w:rPr>
          <w:rFonts w:ascii="Times New Roman" w:hAnsi="Times New Roman" w:cs="Times New Roman"/>
          <w:sz w:val="28"/>
          <w:szCs w:val="28"/>
        </w:rPr>
        <w:instrText xml:space="preserve"> REF _Ref214895811 \r \h </w:instrText>
      </w:r>
      <w:r w:rsidR="00DC15D0">
        <w:rPr>
          <w:rFonts w:ascii="Times New Roman" w:hAnsi="Times New Roman" w:cs="Times New Roman"/>
          <w:sz w:val="28"/>
          <w:szCs w:val="28"/>
        </w:rPr>
      </w:r>
      <w:r w:rsidR="00DC15D0">
        <w:rPr>
          <w:rFonts w:ascii="Times New Roman" w:hAnsi="Times New Roman" w:cs="Times New Roman"/>
          <w:sz w:val="28"/>
          <w:szCs w:val="28"/>
        </w:rPr>
        <w:fldChar w:fldCharType="separate"/>
      </w:r>
      <w:r w:rsidR="00DC15D0">
        <w:rPr>
          <w:rFonts w:ascii="Times New Roman" w:hAnsi="Times New Roman" w:cs="Times New Roman"/>
          <w:sz w:val="28"/>
          <w:szCs w:val="28"/>
        </w:rPr>
        <w:t>4</w:t>
      </w:r>
      <w:r w:rsidR="00DC15D0">
        <w:rPr>
          <w:rFonts w:ascii="Times New Roman" w:hAnsi="Times New Roman" w:cs="Times New Roman"/>
          <w:sz w:val="28"/>
          <w:szCs w:val="28"/>
        </w:rPr>
        <w:fldChar w:fldCharType="end"/>
      </w:r>
      <w:r w:rsidR="00DC15D0" w:rsidRPr="00DC15D0">
        <w:rPr>
          <w:rFonts w:ascii="Times New Roman" w:hAnsi="Times New Roman" w:cs="Times New Roman"/>
          <w:sz w:val="28"/>
          <w:szCs w:val="28"/>
        </w:rPr>
        <w:t>]</w:t>
      </w:r>
    </w:p>
    <w:p w14:paraId="41330D29" w14:textId="56C0A3D6" w:rsidR="00EE3BA8" w:rsidRPr="00FE3EDE" w:rsidRDefault="00B27E3D" w:rsidP="00EE3BA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 данным рисунка </w:t>
      </w:r>
      <w:r w:rsidR="00DC15D0">
        <w:rPr>
          <w:rFonts w:ascii="Times New Roman" w:hAnsi="Times New Roman" w:cs="Times New Roman"/>
          <w:sz w:val="28"/>
          <w:szCs w:val="28"/>
        </w:rPr>
        <w:t>3</w:t>
      </w:r>
      <w:r>
        <w:rPr>
          <w:rFonts w:ascii="Times New Roman" w:hAnsi="Times New Roman" w:cs="Times New Roman"/>
          <w:sz w:val="28"/>
          <w:szCs w:val="28"/>
        </w:rPr>
        <w:t xml:space="preserve"> можно отметить, что в рассматриваемый период постепенно усиливается доля заемщиков по кредитным картам по сравнению с кредитов наличными. Данная динамика отражает изменения поведения заемщиков. Ключевым фактором такого перераспределения выступает повышенная гибкость</w:t>
      </w:r>
      <w:r w:rsidR="0029562F">
        <w:rPr>
          <w:rFonts w:ascii="Times New Roman" w:hAnsi="Times New Roman" w:cs="Times New Roman"/>
          <w:sz w:val="28"/>
          <w:szCs w:val="28"/>
        </w:rPr>
        <w:t xml:space="preserve"> и оперативность кредитных карт. Так как кредитные карты обеспечивают более быстрый доступ к </w:t>
      </w:r>
      <w:proofErr w:type="gramStart"/>
      <w:r w:rsidR="0029562F">
        <w:rPr>
          <w:rFonts w:ascii="Times New Roman" w:hAnsi="Times New Roman" w:cs="Times New Roman"/>
          <w:sz w:val="28"/>
          <w:szCs w:val="28"/>
        </w:rPr>
        <w:t>денежных</w:t>
      </w:r>
      <w:proofErr w:type="gramEnd"/>
      <w:r w:rsidR="0029562F">
        <w:rPr>
          <w:rFonts w:ascii="Times New Roman" w:hAnsi="Times New Roman" w:cs="Times New Roman"/>
          <w:sz w:val="28"/>
          <w:szCs w:val="28"/>
        </w:rPr>
        <w:t xml:space="preserve"> средствам, позволяют совершить повседневные покупки без дополнительного оформления и сопровождаются бонусными программами, льготными периодами. На фоне кредиты наличными, несмотря на относительную стабильность спроса, постепенно теряют свою привлекательность, поскольку требуют формальной процедуры получения и в целом предполагают более долгую финансовую нагрузку. Таким образом, можно заключить, что расширение потребительского кредитования происходит преимущественно за счет занятости в сегменте кредитных карт, что отражает общую тенденцию роста безналичных платежей, цифровизации финансовых услуг и стремления населения к более гибким инструментам кредитования. </w:t>
      </w:r>
    </w:p>
    <w:p w14:paraId="3E7A2FA6" w14:textId="026C0F54" w:rsidR="00EE3BA8" w:rsidRPr="0025639A" w:rsidRDefault="00EE3BA8" w:rsidP="00EE3BA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Несмотря на удобство бесконтактных </w:t>
      </w:r>
      <w:proofErr w:type="gramStart"/>
      <w:r>
        <w:rPr>
          <w:rFonts w:ascii="Times New Roman" w:hAnsi="Times New Roman" w:cs="Times New Roman"/>
          <w:sz w:val="28"/>
          <w:szCs w:val="28"/>
        </w:rPr>
        <w:t>платежей</w:t>
      </w:r>
      <w:proofErr w:type="gramEnd"/>
      <w:r>
        <w:rPr>
          <w:rFonts w:ascii="Times New Roman" w:hAnsi="Times New Roman" w:cs="Times New Roman"/>
          <w:sz w:val="28"/>
          <w:szCs w:val="28"/>
        </w:rPr>
        <w:t xml:space="preserve"> и цифровых кошельков, создали новые возможности для финансового мошенничества, связанных с кредитными картами. Одним из распространенных методов остается фишинг. Мошенники имитируют официальные уведомления и письма банко или торговых площадок, чтобы выманить у пользователей реквизиты карт через поддельные сайты, стилизованные под официальные сервисы. Кроме того, мошенники используют </w:t>
      </w:r>
      <w:r>
        <w:rPr>
          <w:rFonts w:ascii="Times New Roman" w:hAnsi="Times New Roman" w:cs="Times New Roman"/>
          <w:sz w:val="28"/>
          <w:szCs w:val="28"/>
          <w:lang w:val="en-US"/>
        </w:rPr>
        <w:t>AI</w:t>
      </w:r>
      <w:r>
        <w:rPr>
          <w:rFonts w:ascii="Times New Roman" w:hAnsi="Times New Roman" w:cs="Times New Roman"/>
          <w:sz w:val="28"/>
          <w:szCs w:val="28"/>
        </w:rPr>
        <w:t xml:space="preserve">- генераторов голоса родственников или сотрудников кредитных организаций, убеждая жертву раскрыть данные кредитной карты для подтверждения онлайн-транзакций.  По статистике Центрального Банка каждая третья жертва мошенничества в 2024 году передавала данные после перехода по ссылке </w:t>
      </w:r>
      <w:r>
        <w:rPr>
          <w:rFonts w:ascii="Times New Roman" w:hAnsi="Times New Roman" w:cs="Times New Roman"/>
          <w:sz w:val="28"/>
          <w:szCs w:val="28"/>
          <w:lang w:val="en-US"/>
        </w:rPr>
        <w:t>SMS</w:t>
      </w:r>
      <w:r>
        <w:rPr>
          <w:rFonts w:ascii="Times New Roman" w:hAnsi="Times New Roman" w:cs="Times New Roman"/>
          <w:sz w:val="28"/>
          <w:szCs w:val="28"/>
        </w:rPr>
        <w:t xml:space="preserve">, якобы от банка. Таким образом, защита от мошенничества требует финансовой и цифровой грамотности граждан, так, совместные усилия государства и населения помогут создать цифровую безопасность. </w:t>
      </w:r>
      <w:r w:rsidRPr="0025639A">
        <w:rPr>
          <w:rFonts w:ascii="Times New Roman" w:hAnsi="Times New Roman" w:cs="Times New Roman"/>
          <w:sz w:val="28"/>
          <w:szCs w:val="28"/>
        </w:rPr>
        <w:t>[</w:t>
      </w:r>
      <w:r w:rsidR="00DC15D0">
        <w:rPr>
          <w:rFonts w:ascii="Times New Roman" w:hAnsi="Times New Roman" w:cs="Times New Roman"/>
          <w:sz w:val="28"/>
          <w:szCs w:val="28"/>
        </w:rPr>
        <w:fldChar w:fldCharType="begin"/>
      </w:r>
      <w:r w:rsidR="00DC15D0">
        <w:rPr>
          <w:rFonts w:ascii="Times New Roman" w:hAnsi="Times New Roman" w:cs="Times New Roman"/>
          <w:sz w:val="28"/>
          <w:szCs w:val="28"/>
        </w:rPr>
        <w:instrText xml:space="preserve"> REF _Ref214895852 \r \h </w:instrText>
      </w:r>
      <w:r w:rsidR="00DC15D0">
        <w:rPr>
          <w:rFonts w:ascii="Times New Roman" w:hAnsi="Times New Roman" w:cs="Times New Roman"/>
          <w:sz w:val="28"/>
          <w:szCs w:val="28"/>
        </w:rPr>
      </w:r>
      <w:r w:rsidR="00DC15D0">
        <w:rPr>
          <w:rFonts w:ascii="Times New Roman" w:hAnsi="Times New Roman" w:cs="Times New Roman"/>
          <w:sz w:val="28"/>
          <w:szCs w:val="28"/>
        </w:rPr>
        <w:fldChar w:fldCharType="separate"/>
      </w:r>
      <w:r w:rsidR="00DC15D0">
        <w:rPr>
          <w:rFonts w:ascii="Times New Roman" w:hAnsi="Times New Roman" w:cs="Times New Roman"/>
          <w:sz w:val="28"/>
          <w:szCs w:val="28"/>
        </w:rPr>
        <w:t>1</w:t>
      </w:r>
      <w:r w:rsidR="00DC15D0">
        <w:rPr>
          <w:rFonts w:ascii="Times New Roman" w:hAnsi="Times New Roman" w:cs="Times New Roman"/>
          <w:sz w:val="28"/>
          <w:szCs w:val="28"/>
        </w:rPr>
        <w:fldChar w:fldCharType="end"/>
      </w:r>
      <w:r w:rsidR="00DC15D0" w:rsidRPr="00DC15D0">
        <w:rPr>
          <w:rFonts w:ascii="Times New Roman" w:hAnsi="Times New Roman" w:cs="Times New Roman"/>
          <w:sz w:val="28"/>
          <w:szCs w:val="28"/>
        </w:rPr>
        <w:t>,</w:t>
      </w:r>
      <w:r w:rsidR="0025639A" w:rsidRPr="0025639A">
        <w:rPr>
          <w:rFonts w:ascii="Times New Roman" w:hAnsi="Times New Roman" w:cs="Times New Roman"/>
          <w:sz w:val="28"/>
          <w:szCs w:val="28"/>
        </w:rPr>
        <w:t>13</w:t>
      </w:r>
      <w:r w:rsidRPr="0025639A">
        <w:rPr>
          <w:rFonts w:ascii="Times New Roman" w:hAnsi="Times New Roman" w:cs="Times New Roman"/>
          <w:sz w:val="28"/>
          <w:szCs w:val="28"/>
        </w:rPr>
        <w:t>]</w:t>
      </w:r>
      <w:r w:rsidR="0025639A">
        <w:rPr>
          <w:rFonts w:ascii="Times New Roman" w:hAnsi="Times New Roman" w:cs="Times New Roman"/>
          <w:sz w:val="28"/>
          <w:szCs w:val="28"/>
        </w:rPr>
        <w:t xml:space="preserve"> К тому де, повышение уровня финансовой грамотности требуют комплексного подхода. </w:t>
      </w:r>
      <w:r w:rsidR="0025639A" w:rsidRPr="00DC15D0">
        <w:rPr>
          <w:rFonts w:ascii="Times New Roman" w:hAnsi="Times New Roman" w:cs="Times New Roman"/>
          <w:sz w:val="28"/>
          <w:szCs w:val="28"/>
        </w:rPr>
        <w:t>[</w:t>
      </w:r>
      <w:r w:rsidR="00DC15D0">
        <w:rPr>
          <w:rFonts w:ascii="Times New Roman" w:hAnsi="Times New Roman" w:cs="Times New Roman"/>
          <w:sz w:val="28"/>
          <w:szCs w:val="28"/>
        </w:rPr>
        <w:fldChar w:fldCharType="begin"/>
      </w:r>
      <w:r w:rsidR="00DC15D0">
        <w:rPr>
          <w:rFonts w:ascii="Times New Roman" w:hAnsi="Times New Roman" w:cs="Times New Roman"/>
          <w:sz w:val="28"/>
          <w:szCs w:val="28"/>
        </w:rPr>
        <w:instrText xml:space="preserve"> REF _Ref214895876 \r \h </w:instrText>
      </w:r>
      <w:r w:rsidR="00DC15D0">
        <w:rPr>
          <w:rFonts w:ascii="Times New Roman" w:hAnsi="Times New Roman" w:cs="Times New Roman"/>
          <w:sz w:val="28"/>
          <w:szCs w:val="28"/>
        </w:rPr>
      </w:r>
      <w:r w:rsidR="00DC15D0">
        <w:rPr>
          <w:rFonts w:ascii="Times New Roman" w:hAnsi="Times New Roman" w:cs="Times New Roman"/>
          <w:sz w:val="28"/>
          <w:szCs w:val="28"/>
        </w:rPr>
        <w:fldChar w:fldCharType="separate"/>
      </w:r>
      <w:r w:rsidR="00DC15D0">
        <w:rPr>
          <w:rFonts w:ascii="Times New Roman" w:hAnsi="Times New Roman" w:cs="Times New Roman"/>
          <w:sz w:val="28"/>
          <w:szCs w:val="28"/>
        </w:rPr>
        <w:t>3</w:t>
      </w:r>
      <w:r w:rsidR="00DC15D0">
        <w:rPr>
          <w:rFonts w:ascii="Times New Roman" w:hAnsi="Times New Roman" w:cs="Times New Roman"/>
          <w:sz w:val="28"/>
          <w:szCs w:val="28"/>
        </w:rPr>
        <w:fldChar w:fldCharType="end"/>
      </w:r>
      <w:r w:rsidR="00DC15D0">
        <w:rPr>
          <w:rFonts w:ascii="Times New Roman" w:hAnsi="Times New Roman" w:cs="Times New Roman"/>
          <w:sz w:val="28"/>
          <w:szCs w:val="28"/>
          <w:lang w:val="en-US"/>
        </w:rPr>
        <w:t>, 47</w:t>
      </w:r>
      <w:r w:rsidR="0025639A" w:rsidRPr="00DC15D0">
        <w:rPr>
          <w:rFonts w:ascii="Times New Roman" w:hAnsi="Times New Roman" w:cs="Times New Roman"/>
          <w:sz w:val="28"/>
          <w:szCs w:val="28"/>
        </w:rPr>
        <w:t>]</w:t>
      </w:r>
    </w:p>
    <w:p w14:paraId="79160B4B" w14:textId="62E0801B" w:rsidR="00E602FC" w:rsidRPr="00DC15D0" w:rsidRDefault="00DC15D0" w:rsidP="00123F6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Рассмотрим структуру рынка кредитных карт по группам возрастов заемщиков. </w:t>
      </w:r>
    </w:p>
    <w:p w14:paraId="7F5FA74F" w14:textId="0ADE0E77" w:rsidR="005435F3" w:rsidRDefault="004F2D50" w:rsidP="00B27E3D">
      <w:pPr>
        <w:spacing w:after="0" w:line="360" w:lineRule="auto"/>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27B87D9E" wp14:editId="1D93455D">
            <wp:extent cx="6118860" cy="2849245"/>
            <wp:effectExtent l="0" t="0" r="15240" b="8255"/>
            <wp:docPr id="928884331"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AC3D169" w14:textId="49F13F97" w:rsidR="00403593" w:rsidRPr="00DC15D0" w:rsidRDefault="004F2D50" w:rsidP="00123F6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Рис. </w:t>
      </w:r>
      <w:r w:rsidR="00DC15D0">
        <w:rPr>
          <w:rFonts w:ascii="Times New Roman" w:hAnsi="Times New Roman" w:cs="Times New Roman"/>
          <w:sz w:val="28"/>
          <w:szCs w:val="28"/>
        </w:rPr>
        <w:t xml:space="preserve">4. </w:t>
      </w:r>
      <w:r>
        <w:rPr>
          <w:rFonts w:ascii="Times New Roman" w:hAnsi="Times New Roman" w:cs="Times New Roman"/>
          <w:sz w:val="28"/>
          <w:szCs w:val="28"/>
        </w:rPr>
        <w:t>Структура выдачи кредитных карт на 01.01.2025 г. по группам возрастов заемщиков</w:t>
      </w:r>
      <w:r w:rsidR="00DC15D0">
        <w:rPr>
          <w:rFonts w:ascii="Times New Roman" w:hAnsi="Times New Roman" w:cs="Times New Roman"/>
          <w:sz w:val="28"/>
          <w:szCs w:val="28"/>
        </w:rPr>
        <w:t xml:space="preserve"> </w:t>
      </w:r>
      <w:r w:rsidR="00DC15D0" w:rsidRPr="00DC15D0">
        <w:rPr>
          <w:rFonts w:ascii="Times New Roman" w:hAnsi="Times New Roman" w:cs="Times New Roman"/>
          <w:sz w:val="28"/>
          <w:szCs w:val="28"/>
        </w:rPr>
        <w:t>[</w:t>
      </w:r>
      <w:r w:rsidR="00DC15D0">
        <w:rPr>
          <w:rFonts w:ascii="Times New Roman" w:hAnsi="Times New Roman" w:cs="Times New Roman"/>
          <w:sz w:val="28"/>
          <w:szCs w:val="28"/>
        </w:rPr>
        <w:fldChar w:fldCharType="begin"/>
      </w:r>
      <w:r w:rsidR="00DC15D0">
        <w:rPr>
          <w:rFonts w:ascii="Times New Roman" w:hAnsi="Times New Roman" w:cs="Times New Roman"/>
          <w:sz w:val="28"/>
          <w:szCs w:val="28"/>
        </w:rPr>
        <w:instrText xml:space="preserve"> REF _Ref214895824 \r \h </w:instrText>
      </w:r>
      <w:r w:rsidR="00DC15D0">
        <w:rPr>
          <w:rFonts w:ascii="Times New Roman" w:hAnsi="Times New Roman" w:cs="Times New Roman"/>
          <w:sz w:val="28"/>
          <w:szCs w:val="28"/>
        </w:rPr>
      </w:r>
      <w:r w:rsidR="00DC15D0">
        <w:rPr>
          <w:rFonts w:ascii="Times New Roman" w:hAnsi="Times New Roman" w:cs="Times New Roman"/>
          <w:sz w:val="28"/>
          <w:szCs w:val="28"/>
        </w:rPr>
        <w:fldChar w:fldCharType="separate"/>
      </w:r>
      <w:r w:rsidR="00DC15D0">
        <w:rPr>
          <w:rFonts w:ascii="Times New Roman" w:hAnsi="Times New Roman" w:cs="Times New Roman"/>
          <w:sz w:val="28"/>
          <w:szCs w:val="28"/>
        </w:rPr>
        <w:t>6</w:t>
      </w:r>
      <w:r w:rsidR="00DC15D0">
        <w:rPr>
          <w:rFonts w:ascii="Times New Roman" w:hAnsi="Times New Roman" w:cs="Times New Roman"/>
          <w:sz w:val="28"/>
          <w:szCs w:val="28"/>
        </w:rPr>
        <w:fldChar w:fldCharType="end"/>
      </w:r>
      <w:r w:rsidR="00DC15D0" w:rsidRPr="00DC15D0">
        <w:rPr>
          <w:rFonts w:ascii="Times New Roman" w:hAnsi="Times New Roman" w:cs="Times New Roman"/>
          <w:sz w:val="28"/>
          <w:szCs w:val="28"/>
        </w:rPr>
        <w:t>]</w:t>
      </w:r>
    </w:p>
    <w:p w14:paraId="380AA2E7" w14:textId="5B3CAFF7" w:rsidR="0050495B" w:rsidRDefault="0029562F" w:rsidP="00123F6B">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Рассматривая структуру выдачи кредитных карт по возрастным категориям, значительная доля заемщиков приходится на возрастную группу 20-30 лет, удельный вес которого составляет 22%. На данном этапе жизни чаще всего находятся на начальном этапе профессиональной карьеры, стремясь к активному участию </w:t>
      </w:r>
      <w:r w:rsidR="00600490">
        <w:rPr>
          <w:rFonts w:ascii="Times New Roman" w:hAnsi="Times New Roman" w:cs="Times New Roman"/>
          <w:sz w:val="28"/>
          <w:szCs w:val="28"/>
        </w:rPr>
        <w:t xml:space="preserve">в потреблении, так как кредитные карты выступают как инструмент расширения покупательской способности. К тому же, данная возрастная группа высоко адаптирована к цифровым технологиям, что кредитные карты более привлекательны по сравнению с кредитами наличными. </w:t>
      </w:r>
    </w:p>
    <w:p w14:paraId="6841B088" w14:textId="501A6E0B" w:rsidR="00600490" w:rsidRPr="0025639A" w:rsidRDefault="00600490" w:rsidP="00123F6B">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 xml:space="preserve">При этом группа 40-50 лет занимают 20% в структуре выдачи кредитных карт, обусловленных тем, что представители данного возраста имеют стабильный </w:t>
      </w:r>
      <w:proofErr w:type="gramStart"/>
      <w:r>
        <w:rPr>
          <w:rFonts w:ascii="Times New Roman" w:hAnsi="Times New Roman" w:cs="Times New Roman"/>
          <w:sz w:val="28"/>
          <w:szCs w:val="28"/>
        </w:rPr>
        <w:t>доход</w:t>
      </w:r>
      <w:proofErr w:type="gramEnd"/>
      <w:r>
        <w:rPr>
          <w:rFonts w:ascii="Times New Roman" w:hAnsi="Times New Roman" w:cs="Times New Roman"/>
          <w:sz w:val="28"/>
          <w:szCs w:val="28"/>
        </w:rPr>
        <w:t xml:space="preserve"> и выбор кредитных карт чаще связан с необходимостью управления текущими финансовыми обязательствами, включая образование детей, ремонт жилья или крупные бытовые покупки. При этом, люди возраста 40-50 лет в отличие от молодежи характеризуются более высокой степенью финансовой ответственности, так как они меньше склонны к импульсивным тратам. </w:t>
      </w:r>
      <w:r w:rsidR="0025639A" w:rsidRPr="0025639A">
        <w:rPr>
          <w:rFonts w:ascii="Times New Roman" w:hAnsi="Times New Roman" w:cs="Times New Roman"/>
          <w:sz w:val="28"/>
          <w:szCs w:val="28"/>
        </w:rPr>
        <w:t xml:space="preserve">Использование кредитных карт может оказывать как положительное, так и отрицательное влияние на личные </w:t>
      </w:r>
      <w:proofErr w:type="gramStart"/>
      <w:r w:rsidR="0025639A" w:rsidRPr="0025639A">
        <w:rPr>
          <w:rFonts w:ascii="Times New Roman" w:hAnsi="Times New Roman" w:cs="Times New Roman"/>
          <w:sz w:val="28"/>
          <w:szCs w:val="28"/>
        </w:rPr>
        <w:t>финансы</w:t>
      </w:r>
      <w:proofErr w:type="gramEnd"/>
      <w:r w:rsidR="0025639A" w:rsidRPr="0025639A">
        <w:rPr>
          <w:rFonts w:ascii="Times New Roman" w:hAnsi="Times New Roman" w:cs="Times New Roman"/>
          <w:sz w:val="28"/>
          <w:szCs w:val="28"/>
        </w:rPr>
        <w:t xml:space="preserve"> и потребительское поведение</w:t>
      </w:r>
      <w:r w:rsidR="0025639A">
        <w:rPr>
          <w:rFonts w:ascii="Times New Roman" w:hAnsi="Times New Roman" w:cs="Times New Roman"/>
          <w:sz w:val="28"/>
          <w:szCs w:val="28"/>
        </w:rPr>
        <w:t xml:space="preserve">. </w:t>
      </w:r>
      <w:r w:rsidR="0025639A">
        <w:rPr>
          <w:rFonts w:ascii="Times New Roman" w:hAnsi="Times New Roman" w:cs="Times New Roman"/>
          <w:sz w:val="28"/>
          <w:szCs w:val="28"/>
          <w:lang w:val="en-US"/>
        </w:rPr>
        <w:t>[</w:t>
      </w:r>
      <w:r w:rsidR="00DC15D0">
        <w:rPr>
          <w:rFonts w:ascii="Times New Roman" w:hAnsi="Times New Roman" w:cs="Times New Roman"/>
          <w:sz w:val="28"/>
          <w:szCs w:val="28"/>
          <w:lang w:val="en-US"/>
        </w:rPr>
        <w:fldChar w:fldCharType="begin"/>
      </w:r>
      <w:r w:rsidR="00DC15D0">
        <w:rPr>
          <w:rFonts w:ascii="Times New Roman" w:hAnsi="Times New Roman" w:cs="Times New Roman"/>
          <w:sz w:val="28"/>
          <w:szCs w:val="28"/>
          <w:lang w:val="en-US"/>
        </w:rPr>
        <w:instrText xml:space="preserve"> REF _Ref214895951 \r \h </w:instrText>
      </w:r>
      <w:r w:rsidR="00DC15D0">
        <w:rPr>
          <w:rFonts w:ascii="Times New Roman" w:hAnsi="Times New Roman" w:cs="Times New Roman"/>
          <w:sz w:val="28"/>
          <w:szCs w:val="28"/>
          <w:lang w:val="en-US"/>
        </w:rPr>
      </w:r>
      <w:r w:rsidR="00DC15D0">
        <w:rPr>
          <w:rFonts w:ascii="Times New Roman" w:hAnsi="Times New Roman" w:cs="Times New Roman"/>
          <w:sz w:val="28"/>
          <w:szCs w:val="28"/>
          <w:lang w:val="en-US"/>
        </w:rPr>
        <w:fldChar w:fldCharType="separate"/>
      </w:r>
      <w:r w:rsidR="00DC15D0">
        <w:rPr>
          <w:rFonts w:ascii="Times New Roman" w:hAnsi="Times New Roman" w:cs="Times New Roman"/>
          <w:sz w:val="28"/>
          <w:szCs w:val="28"/>
          <w:lang w:val="en-US"/>
        </w:rPr>
        <w:t>2</w:t>
      </w:r>
      <w:r w:rsidR="00DC15D0">
        <w:rPr>
          <w:rFonts w:ascii="Times New Roman" w:hAnsi="Times New Roman" w:cs="Times New Roman"/>
          <w:sz w:val="28"/>
          <w:szCs w:val="28"/>
          <w:lang w:val="en-US"/>
        </w:rPr>
        <w:fldChar w:fldCharType="end"/>
      </w:r>
      <w:r w:rsidR="00DC15D0">
        <w:rPr>
          <w:rFonts w:ascii="Times New Roman" w:hAnsi="Times New Roman" w:cs="Times New Roman"/>
          <w:sz w:val="28"/>
          <w:szCs w:val="28"/>
          <w:lang w:val="en-US"/>
        </w:rPr>
        <w:t>, 30</w:t>
      </w:r>
      <w:r w:rsidR="0025639A">
        <w:rPr>
          <w:rFonts w:ascii="Times New Roman" w:hAnsi="Times New Roman" w:cs="Times New Roman"/>
          <w:sz w:val="28"/>
          <w:szCs w:val="28"/>
          <w:lang w:val="en-US"/>
        </w:rPr>
        <w:t>]</w:t>
      </w:r>
    </w:p>
    <w:p w14:paraId="4E92CD8A" w14:textId="27988025" w:rsidR="00052A86" w:rsidRPr="00FE3EDE" w:rsidRDefault="001B334C" w:rsidP="00EE3BA8">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Согласно опросу</w:t>
      </w:r>
      <w:r w:rsidR="006134A0">
        <w:rPr>
          <w:rFonts w:ascii="Times New Roman" w:hAnsi="Times New Roman" w:cs="Times New Roman"/>
          <w:sz w:val="28"/>
          <w:szCs w:val="28"/>
        </w:rPr>
        <w:t>, проведенного</w:t>
      </w:r>
      <w:r>
        <w:rPr>
          <w:rFonts w:ascii="Times New Roman" w:hAnsi="Times New Roman" w:cs="Times New Roman"/>
          <w:sz w:val="28"/>
          <w:szCs w:val="28"/>
        </w:rPr>
        <w:t xml:space="preserve"> ВЦИОМ </w:t>
      </w:r>
      <w:r w:rsidR="006134A0">
        <w:rPr>
          <w:rFonts w:ascii="Times New Roman" w:hAnsi="Times New Roman" w:cs="Times New Roman"/>
          <w:sz w:val="28"/>
          <w:szCs w:val="28"/>
        </w:rPr>
        <w:t xml:space="preserve">в </w:t>
      </w:r>
      <w:r>
        <w:rPr>
          <w:rFonts w:ascii="Times New Roman" w:hAnsi="Times New Roman" w:cs="Times New Roman"/>
          <w:sz w:val="28"/>
          <w:szCs w:val="28"/>
        </w:rPr>
        <w:t>октябр</w:t>
      </w:r>
      <w:r w:rsidR="006134A0">
        <w:rPr>
          <w:rFonts w:ascii="Times New Roman" w:hAnsi="Times New Roman" w:cs="Times New Roman"/>
          <w:sz w:val="28"/>
          <w:szCs w:val="28"/>
        </w:rPr>
        <w:t>е</w:t>
      </w:r>
      <w:r>
        <w:rPr>
          <w:rFonts w:ascii="Times New Roman" w:hAnsi="Times New Roman" w:cs="Times New Roman"/>
          <w:sz w:val="28"/>
          <w:szCs w:val="28"/>
        </w:rPr>
        <w:t xml:space="preserve"> 2024 года, кредитные карты остаются популярной услугой, более чем 25% </w:t>
      </w:r>
      <w:proofErr w:type="gramStart"/>
      <w:r>
        <w:rPr>
          <w:rFonts w:ascii="Times New Roman" w:hAnsi="Times New Roman" w:cs="Times New Roman"/>
          <w:sz w:val="28"/>
          <w:szCs w:val="28"/>
        </w:rPr>
        <w:t>опрошенных</w:t>
      </w:r>
      <w:proofErr w:type="gramEnd"/>
      <w:r>
        <w:rPr>
          <w:rFonts w:ascii="Times New Roman" w:hAnsi="Times New Roman" w:cs="Times New Roman"/>
          <w:sz w:val="28"/>
          <w:szCs w:val="28"/>
        </w:rPr>
        <w:t xml:space="preserve"> пользуются кредитными картами. В совокупности </w:t>
      </w:r>
      <w:r w:rsidR="006134A0">
        <w:rPr>
          <w:rFonts w:ascii="Times New Roman" w:hAnsi="Times New Roman" w:cs="Times New Roman"/>
          <w:sz w:val="28"/>
          <w:szCs w:val="28"/>
        </w:rPr>
        <w:t xml:space="preserve">кредитными продуктами пользуются 37% граждан, при этом кредитные карты лидируют среди кредитных продуктов перед потребительскими кредитами и ипотекой. При выборе банка для кредитных карт 15% участников опроса ориентируются на выгодные условия кредитования. Сбербанк сохраняет лидерство как предпочтительный банк для кредитных карт, хотя среди молодежи усиливается конкуренция с Т-Банком. </w:t>
      </w:r>
      <w:r w:rsidR="00DC15D0" w:rsidRPr="00FE3EDE">
        <w:rPr>
          <w:rFonts w:ascii="Times New Roman" w:hAnsi="Times New Roman" w:cs="Times New Roman"/>
          <w:sz w:val="28"/>
          <w:szCs w:val="28"/>
        </w:rPr>
        <w:t>[</w:t>
      </w:r>
      <w:r w:rsidR="00DC15D0">
        <w:rPr>
          <w:rFonts w:ascii="Times New Roman" w:hAnsi="Times New Roman" w:cs="Times New Roman"/>
          <w:sz w:val="28"/>
          <w:szCs w:val="28"/>
          <w:lang w:val="en-US"/>
        </w:rPr>
        <w:fldChar w:fldCharType="begin"/>
      </w:r>
      <w:r w:rsidR="00DC15D0" w:rsidRPr="00FE3EDE">
        <w:rPr>
          <w:rFonts w:ascii="Times New Roman" w:hAnsi="Times New Roman" w:cs="Times New Roman"/>
          <w:sz w:val="28"/>
          <w:szCs w:val="28"/>
        </w:rPr>
        <w:instrText xml:space="preserve"> </w:instrText>
      </w:r>
      <w:r w:rsidR="00DC15D0">
        <w:rPr>
          <w:rFonts w:ascii="Times New Roman" w:hAnsi="Times New Roman" w:cs="Times New Roman"/>
          <w:sz w:val="28"/>
          <w:szCs w:val="28"/>
          <w:lang w:val="en-US"/>
        </w:rPr>
        <w:instrText>REF</w:instrText>
      </w:r>
      <w:r w:rsidR="00DC15D0" w:rsidRPr="00FE3EDE">
        <w:rPr>
          <w:rFonts w:ascii="Times New Roman" w:hAnsi="Times New Roman" w:cs="Times New Roman"/>
          <w:sz w:val="28"/>
          <w:szCs w:val="28"/>
        </w:rPr>
        <w:instrText xml:space="preserve"> _</w:instrText>
      </w:r>
      <w:r w:rsidR="00DC15D0">
        <w:rPr>
          <w:rFonts w:ascii="Times New Roman" w:hAnsi="Times New Roman" w:cs="Times New Roman"/>
          <w:sz w:val="28"/>
          <w:szCs w:val="28"/>
          <w:lang w:val="en-US"/>
        </w:rPr>
        <w:instrText>Ref</w:instrText>
      </w:r>
      <w:r w:rsidR="00DC15D0" w:rsidRPr="00FE3EDE">
        <w:rPr>
          <w:rFonts w:ascii="Times New Roman" w:hAnsi="Times New Roman" w:cs="Times New Roman"/>
          <w:sz w:val="28"/>
          <w:szCs w:val="28"/>
        </w:rPr>
        <w:instrText>214895969 \</w:instrText>
      </w:r>
      <w:r w:rsidR="00DC15D0">
        <w:rPr>
          <w:rFonts w:ascii="Times New Roman" w:hAnsi="Times New Roman" w:cs="Times New Roman"/>
          <w:sz w:val="28"/>
          <w:szCs w:val="28"/>
          <w:lang w:val="en-US"/>
        </w:rPr>
        <w:instrText>r</w:instrText>
      </w:r>
      <w:r w:rsidR="00DC15D0" w:rsidRPr="00FE3EDE">
        <w:rPr>
          <w:rFonts w:ascii="Times New Roman" w:hAnsi="Times New Roman" w:cs="Times New Roman"/>
          <w:sz w:val="28"/>
          <w:szCs w:val="28"/>
        </w:rPr>
        <w:instrText xml:space="preserve"> \</w:instrText>
      </w:r>
      <w:r w:rsidR="00DC15D0">
        <w:rPr>
          <w:rFonts w:ascii="Times New Roman" w:hAnsi="Times New Roman" w:cs="Times New Roman"/>
          <w:sz w:val="28"/>
          <w:szCs w:val="28"/>
          <w:lang w:val="en-US"/>
        </w:rPr>
        <w:instrText>h</w:instrText>
      </w:r>
      <w:r w:rsidR="00DC15D0" w:rsidRPr="00FE3EDE">
        <w:rPr>
          <w:rFonts w:ascii="Times New Roman" w:hAnsi="Times New Roman" w:cs="Times New Roman"/>
          <w:sz w:val="28"/>
          <w:szCs w:val="28"/>
        </w:rPr>
        <w:instrText xml:space="preserve"> </w:instrText>
      </w:r>
      <w:r w:rsidR="00DC15D0">
        <w:rPr>
          <w:rFonts w:ascii="Times New Roman" w:hAnsi="Times New Roman" w:cs="Times New Roman"/>
          <w:sz w:val="28"/>
          <w:szCs w:val="28"/>
          <w:lang w:val="en-US"/>
        </w:rPr>
      </w:r>
      <w:r w:rsidR="00DC15D0">
        <w:rPr>
          <w:rFonts w:ascii="Times New Roman" w:hAnsi="Times New Roman" w:cs="Times New Roman"/>
          <w:sz w:val="28"/>
          <w:szCs w:val="28"/>
          <w:lang w:val="en-US"/>
        </w:rPr>
        <w:fldChar w:fldCharType="separate"/>
      </w:r>
      <w:r w:rsidR="00DC15D0" w:rsidRPr="00FE3EDE">
        <w:rPr>
          <w:rFonts w:ascii="Times New Roman" w:hAnsi="Times New Roman" w:cs="Times New Roman"/>
          <w:sz w:val="28"/>
          <w:szCs w:val="28"/>
        </w:rPr>
        <w:t>7</w:t>
      </w:r>
      <w:r w:rsidR="00DC15D0">
        <w:rPr>
          <w:rFonts w:ascii="Times New Roman" w:hAnsi="Times New Roman" w:cs="Times New Roman"/>
          <w:sz w:val="28"/>
          <w:szCs w:val="28"/>
          <w:lang w:val="en-US"/>
        </w:rPr>
        <w:fldChar w:fldCharType="end"/>
      </w:r>
      <w:r w:rsidR="00DC15D0" w:rsidRPr="00FE3EDE">
        <w:rPr>
          <w:rFonts w:ascii="Times New Roman" w:hAnsi="Times New Roman" w:cs="Times New Roman"/>
          <w:sz w:val="28"/>
          <w:szCs w:val="28"/>
        </w:rPr>
        <w:t>]</w:t>
      </w:r>
    </w:p>
    <w:p w14:paraId="44AFEAD2" w14:textId="351E080A" w:rsidR="00F023CC" w:rsidRPr="00DC15D0" w:rsidRDefault="00C13358" w:rsidP="00EE3BA8">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t>По исследованию</w:t>
      </w:r>
      <w:r w:rsidRPr="003D56CD">
        <w:rPr>
          <w:rFonts w:ascii="Times New Roman" w:hAnsi="Times New Roman" w:cs="Times New Roman"/>
          <w:sz w:val="28"/>
          <w:szCs w:val="28"/>
        </w:rPr>
        <w:t xml:space="preserve"> </w:t>
      </w:r>
      <w:r>
        <w:rPr>
          <w:rFonts w:ascii="Times New Roman" w:hAnsi="Times New Roman" w:cs="Times New Roman"/>
          <w:sz w:val="28"/>
          <w:szCs w:val="28"/>
          <w:lang w:val="en-US"/>
        </w:rPr>
        <w:t>Frank</w:t>
      </w:r>
      <w:r w:rsidRPr="003D56CD">
        <w:rPr>
          <w:rFonts w:ascii="Times New Roman" w:hAnsi="Times New Roman" w:cs="Times New Roman"/>
          <w:sz w:val="28"/>
          <w:szCs w:val="28"/>
        </w:rPr>
        <w:t xml:space="preserve"> </w:t>
      </w:r>
      <w:r>
        <w:rPr>
          <w:rFonts w:ascii="Times New Roman" w:hAnsi="Times New Roman" w:cs="Times New Roman"/>
          <w:sz w:val="28"/>
          <w:szCs w:val="28"/>
          <w:lang w:val="en-US"/>
        </w:rPr>
        <w:t>RG</w:t>
      </w:r>
      <w:r w:rsidRPr="003D56CD">
        <w:rPr>
          <w:rFonts w:ascii="Times New Roman" w:hAnsi="Times New Roman" w:cs="Times New Roman"/>
          <w:sz w:val="28"/>
          <w:szCs w:val="28"/>
        </w:rPr>
        <w:t xml:space="preserve"> </w:t>
      </w:r>
      <w:r>
        <w:rPr>
          <w:rFonts w:ascii="Times New Roman" w:hAnsi="Times New Roman" w:cs="Times New Roman"/>
          <w:sz w:val="28"/>
          <w:szCs w:val="28"/>
        </w:rPr>
        <w:t xml:space="preserve">за 2024 г. наибольшие доли на рынке кредитных карт занимают Сбербанк – 51%, Т-Банк – 18%, Альфа-Банк – 11%, ВТБ – 6%, Совкомбанк – 4%, МТС Банк – 2%. </w:t>
      </w:r>
      <w:r w:rsidR="00DC15D0">
        <w:rPr>
          <w:rFonts w:ascii="Times New Roman" w:hAnsi="Times New Roman" w:cs="Times New Roman"/>
          <w:sz w:val="28"/>
          <w:szCs w:val="28"/>
          <w:lang w:val="en-US"/>
        </w:rPr>
        <w:t>[</w:t>
      </w:r>
      <w:r w:rsidR="00DC15D0">
        <w:rPr>
          <w:rFonts w:ascii="Times New Roman" w:hAnsi="Times New Roman" w:cs="Times New Roman"/>
          <w:sz w:val="28"/>
          <w:szCs w:val="28"/>
          <w:lang w:val="en-US"/>
        </w:rPr>
        <w:fldChar w:fldCharType="begin"/>
      </w:r>
      <w:r w:rsidR="00DC15D0">
        <w:rPr>
          <w:rFonts w:ascii="Times New Roman" w:hAnsi="Times New Roman" w:cs="Times New Roman"/>
          <w:sz w:val="28"/>
          <w:szCs w:val="28"/>
          <w:lang w:val="en-US"/>
        </w:rPr>
        <w:instrText xml:space="preserve"> REF _Ref214895978 \r \h </w:instrText>
      </w:r>
      <w:r w:rsidR="00DC15D0">
        <w:rPr>
          <w:rFonts w:ascii="Times New Roman" w:hAnsi="Times New Roman" w:cs="Times New Roman"/>
          <w:sz w:val="28"/>
          <w:szCs w:val="28"/>
          <w:lang w:val="en-US"/>
        </w:rPr>
      </w:r>
      <w:r w:rsidR="00DC15D0">
        <w:rPr>
          <w:rFonts w:ascii="Times New Roman" w:hAnsi="Times New Roman" w:cs="Times New Roman"/>
          <w:sz w:val="28"/>
          <w:szCs w:val="28"/>
          <w:lang w:val="en-US"/>
        </w:rPr>
        <w:fldChar w:fldCharType="separate"/>
      </w:r>
      <w:r w:rsidR="00DC15D0">
        <w:rPr>
          <w:rFonts w:ascii="Times New Roman" w:hAnsi="Times New Roman" w:cs="Times New Roman"/>
          <w:sz w:val="28"/>
          <w:szCs w:val="28"/>
          <w:lang w:val="en-US"/>
        </w:rPr>
        <w:t>8</w:t>
      </w:r>
      <w:r w:rsidR="00DC15D0">
        <w:rPr>
          <w:rFonts w:ascii="Times New Roman" w:hAnsi="Times New Roman" w:cs="Times New Roman"/>
          <w:sz w:val="28"/>
          <w:szCs w:val="28"/>
          <w:lang w:val="en-US"/>
        </w:rPr>
        <w:fldChar w:fldCharType="end"/>
      </w:r>
      <w:r w:rsidR="00DC15D0">
        <w:rPr>
          <w:rFonts w:ascii="Times New Roman" w:hAnsi="Times New Roman" w:cs="Times New Roman"/>
          <w:sz w:val="28"/>
          <w:szCs w:val="28"/>
          <w:lang w:val="en-US"/>
        </w:rPr>
        <w:t>]</w:t>
      </w:r>
    </w:p>
    <w:p w14:paraId="63B3C21D" w14:textId="2A583579" w:rsidR="00C534E1" w:rsidRPr="00DC15D0" w:rsidRDefault="00C534E1" w:rsidP="00123F6B">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sz w:val="28"/>
          <w:szCs w:val="28"/>
        </w:rPr>
        <w:lastRenderedPageBreak/>
        <w:t>Как свидетельствуют результаты исследования, проведенного финансовым сервис «</w:t>
      </w:r>
      <w:proofErr w:type="spellStart"/>
      <w:r>
        <w:rPr>
          <w:rFonts w:ascii="Times New Roman" w:hAnsi="Times New Roman" w:cs="Times New Roman"/>
          <w:sz w:val="28"/>
          <w:szCs w:val="28"/>
        </w:rPr>
        <w:t>Банки</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у</w:t>
      </w:r>
      <w:proofErr w:type="spellEnd"/>
      <w:r>
        <w:rPr>
          <w:rFonts w:ascii="Times New Roman" w:hAnsi="Times New Roman" w:cs="Times New Roman"/>
          <w:sz w:val="28"/>
          <w:szCs w:val="28"/>
        </w:rPr>
        <w:t>», основными мотивами для оформления банковских карт среди россиян являются привлекательные бонусные программы или кешбэк и совершение целевых покупок с отсрочкой платежа. Детализируя способы применения кредитных карт, 52% опрошенных предпочитают классические физические безналичные расчеты. На втором месте остается способ перевода через систему быстрых платежей. При этом</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1-2% граждан отдают предпочтение наличными. </w:t>
      </w:r>
      <w:r w:rsidR="00DC15D0">
        <w:rPr>
          <w:rFonts w:ascii="Times New Roman" w:hAnsi="Times New Roman" w:cs="Times New Roman"/>
          <w:sz w:val="28"/>
          <w:szCs w:val="28"/>
          <w:lang w:val="en-US"/>
        </w:rPr>
        <w:t>[</w:t>
      </w:r>
      <w:r w:rsidR="00DC15D0">
        <w:rPr>
          <w:rFonts w:ascii="Times New Roman" w:hAnsi="Times New Roman" w:cs="Times New Roman"/>
          <w:sz w:val="28"/>
          <w:szCs w:val="28"/>
          <w:lang w:val="en-US"/>
        </w:rPr>
        <w:fldChar w:fldCharType="begin"/>
      </w:r>
      <w:r w:rsidR="00DC15D0">
        <w:rPr>
          <w:rFonts w:ascii="Times New Roman" w:hAnsi="Times New Roman" w:cs="Times New Roman"/>
          <w:sz w:val="28"/>
          <w:szCs w:val="28"/>
          <w:lang w:val="en-US"/>
        </w:rPr>
        <w:instrText xml:space="preserve"> REF _Ref214895991 \r \h </w:instrText>
      </w:r>
      <w:r w:rsidR="00DC15D0">
        <w:rPr>
          <w:rFonts w:ascii="Times New Roman" w:hAnsi="Times New Roman" w:cs="Times New Roman"/>
          <w:sz w:val="28"/>
          <w:szCs w:val="28"/>
          <w:lang w:val="en-US"/>
        </w:rPr>
      </w:r>
      <w:r w:rsidR="00DC15D0">
        <w:rPr>
          <w:rFonts w:ascii="Times New Roman" w:hAnsi="Times New Roman" w:cs="Times New Roman"/>
          <w:sz w:val="28"/>
          <w:szCs w:val="28"/>
          <w:lang w:val="en-US"/>
        </w:rPr>
        <w:fldChar w:fldCharType="separate"/>
      </w:r>
      <w:r w:rsidR="00DC15D0">
        <w:rPr>
          <w:rFonts w:ascii="Times New Roman" w:hAnsi="Times New Roman" w:cs="Times New Roman"/>
          <w:sz w:val="28"/>
          <w:szCs w:val="28"/>
          <w:lang w:val="en-US"/>
        </w:rPr>
        <w:t>9</w:t>
      </w:r>
      <w:r w:rsidR="00DC15D0">
        <w:rPr>
          <w:rFonts w:ascii="Times New Roman" w:hAnsi="Times New Roman" w:cs="Times New Roman"/>
          <w:sz w:val="28"/>
          <w:szCs w:val="28"/>
          <w:lang w:val="en-US"/>
        </w:rPr>
        <w:fldChar w:fldCharType="end"/>
      </w:r>
      <w:r w:rsidR="00DC15D0">
        <w:rPr>
          <w:rFonts w:ascii="Times New Roman" w:hAnsi="Times New Roman" w:cs="Times New Roman"/>
          <w:sz w:val="28"/>
          <w:szCs w:val="28"/>
          <w:lang w:val="en-US"/>
        </w:rPr>
        <w:t>]</w:t>
      </w:r>
    </w:p>
    <w:p w14:paraId="36CAFA3B" w14:textId="602F9C16" w:rsidR="003E0CC3" w:rsidRDefault="00CC4D2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Таким образом, анализ современного </w:t>
      </w:r>
      <w:r w:rsidR="006E18DD">
        <w:rPr>
          <w:rFonts w:ascii="Times New Roman" w:hAnsi="Times New Roman" w:cs="Times New Roman"/>
          <w:sz w:val="28"/>
          <w:szCs w:val="28"/>
        </w:rPr>
        <w:t>рынка</w:t>
      </w:r>
      <w:r>
        <w:rPr>
          <w:rFonts w:ascii="Times New Roman" w:hAnsi="Times New Roman" w:cs="Times New Roman"/>
          <w:sz w:val="28"/>
          <w:szCs w:val="28"/>
        </w:rPr>
        <w:t xml:space="preserve"> кредитных карт показывает, что данный сегмент продолжает активно расширяться и укреплять свои позиции в структуре потребительского кредитования. Рост выпуска кредитных карт</w:t>
      </w:r>
      <w:r w:rsidR="006E18DD">
        <w:rPr>
          <w:rFonts w:ascii="Times New Roman" w:hAnsi="Times New Roman" w:cs="Times New Roman"/>
          <w:sz w:val="28"/>
          <w:szCs w:val="28"/>
        </w:rPr>
        <w:t xml:space="preserve">, увеличение числа пользователей и смещение предпочтений в сторону более гибких кредитных продуктов характеризуют </w:t>
      </w:r>
      <w:proofErr w:type="gramStart"/>
      <w:r w:rsidR="006E18DD">
        <w:rPr>
          <w:rFonts w:ascii="Times New Roman" w:hAnsi="Times New Roman" w:cs="Times New Roman"/>
          <w:sz w:val="28"/>
          <w:szCs w:val="28"/>
        </w:rPr>
        <w:t>о</w:t>
      </w:r>
      <w:proofErr w:type="gramEnd"/>
      <w:r w:rsidR="006E18DD">
        <w:rPr>
          <w:rFonts w:ascii="Times New Roman" w:hAnsi="Times New Roman" w:cs="Times New Roman"/>
          <w:sz w:val="28"/>
          <w:szCs w:val="28"/>
        </w:rPr>
        <w:t xml:space="preserve"> изменения поведения заемщиков и усиление роли цифровых сервисов. Молодежь становится ключевыми пользователями рынка кредитных карт.</w:t>
      </w:r>
    </w:p>
    <w:p w14:paraId="06429A86" w14:textId="58F2E50E" w:rsidR="006E18DD" w:rsidRDefault="006E18DD">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Наряду с положительными тенденциями сохраняются и риски, прежде всего связанные с распространением новых форм мошенничества, основанных на использовании цифровых технологий искусственного интеллекта. Это обуславливает необходимость комплексного подхода к повышению цифровой и финансовой грамотности населения, а также укрепления механизмов защиты данных. </w:t>
      </w:r>
    </w:p>
    <w:p w14:paraId="447B9055" w14:textId="77777777" w:rsidR="00A76F2C" w:rsidRDefault="00A76F2C">
      <w:pPr>
        <w:spacing w:after="0" w:line="360" w:lineRule="auto"/>
        <w:ind w:firstLine="567"/>
        <w:jc w:val="both"/>
        <w:rPr>
          <w:rFonts w:ascii="Times New Roman" w:hAnsi="Times New Roman" w:cs="Times New Roman"/>
          <w:sz w:val="28"/>
          <w:szCs w:val="28"/>
        </w:rPr>
      </w:pPr>
    </w:p>
    <w:p w14:paraId="30CED90A" w14:textId="3AA840C0" w:rsidR="006E18DD" w:rsidRDefault="00FE3EDE" w:rsidP="00FE3EDE">
      <w:pPr>
        <w:spacing w:after="0" w:line="360" w:lineRule="auto"/>
        <w:ind w:firstLine="567"/>
        <w:rPr>
          <w:rFonts w:ascii="Times New Roman" w:hAnsi="Times New Roman" w:cs="Times New Roman"/>
          <w:sz w:val="28"/>
          <w:szCs w:val="28"/>
        </w:rPr>
      </w:pPr>
      <w:r>
        <w:rPr>
          <w:rFonts w:ascii="Times New Roman" w:hAnsi="Times New Roman" w:cs="Times New Roman"/>
          <w:sz w:val="28"/>
          <w:szCs w:val="28"/>
        </w:rPr>
        <w:t>СПИСОК ЛИТЕРАТУРЫ</w:t>
      </w:r>
      <w:bookmarkStart w:id="0" w:name="_GoBack"/>
      <w:bookmarkEnd w:id="0"/>
    </w:p>
    <w:p w14:paraId="03D072EA" w14:textId="069C67E8" w:rsidR="006E18DD" w:rsidRDefault="006E18DD"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1" w:name="_Ref214895852"/>
      <w:r w:rsidRPr="006E18DD">
        <w:rPr>
          <w:rFonts w:ascii="Times New Roman" w:hAnsi="Times New Roman" w:cs="Times New Roman"/>
          <w:sz w:val="28"/>
          <w:szCs w:val="28"/>
        </w:rPr>
        <w:t>Вампилова, А. Д. Цифровое мошенничество в Российской Федерации / А. Д. Вампилова // Известия Института экономических исследований. – 2025. – № 3. – С. 4-15. – EDN OHFSQN.</w:t>
      </w:r>
      <w:bookmarkEnd w:id="1"/>
    </w:p>
    <w:p w14:paraId="06661B1F" w14:textId="4DAD43CF" w:rsidR="006E18DD" w:rsidRPr="0025639A" w:rsidRDefault="0025639A"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2" w:name="_Ref214895951"/>
      <w:proofErr w:type="spellStart"/>
      <w:r w:rsidRPr="0025639A">
        <w:rPr>
          <w:rFonts w:ascii="Times New Roman" w:hAnsi="Times New Roman" w:cs="Times New Roman"/>
          <w:sz w:val="28"/>
          <w:szCs w:val="28"/>
        </w:rPr>
        <w:t>Илюкова</w:t>
      </w:r>
      <w:proofErr w:type="spellEnd"/>
      <w:r w:rsidRPr="0025639A">
        <w:rPr>
          <w:rFonts w:ascii="Times New Roman" w:hAnsi="Times New Roman" w:cs="Times New Roman"/>
          <w:sz w:val="28"/>
          <w:szCs w:val="28"/>
        </w:rPr>
        <w:t xml:space="preserve">, Е. Д. Кредитные карты: преимущества и недостатки - Анализ использования кредитных карт, их влияние на личные финансы и потребительское поведение / Е. Д. </w:t>
      </w:r>
      <w:proofErr w:type="spellStart"/>
      <w:r w:rsidRPr="0025639A">
        <w:rPr>
          <w:rFonts w:ascii="Times New Roman" w:hAnsi="Times New Roman" w:cs="Times New Roman"/>
          <w:sz w:val="28"/>
          <w:szCs w:val="28"/>
        </w:rPr>
        <w:t>Илюкова</w:t>
      </w:r>
      <w:proofErr w:type="spellEnd"/>
      <w:r w:rsidRPr="0025639A">
        <w:rPr>
          <w:rFonts w:ascii="Times New Roman" w:hAnsi="Times New Roman" w:cs="Times New Roman"/>
          <w:sz w:val="28"/>
          <w:szCs w:val="28"/>
        </w:rPr>
        <w:t xml:space="preserve">, Е. Д. </w:t>
      </w:r>
      <w:proofErr w:type="spellStart"/>
      <w:r w:rsidRPr="0025639A">
        <w:rPr>
          <w:rFonts w:ascii="Times New Roman" w:hAnsi="Times New Roman" w:cs="Times New Roman"/>
          <w:sz w:val="28"/>
          <w:szCs w:val="28"/>
        </w:rPr>
        <w:t>Ольшанченкова</w:t>
      </w:r>
      <w:proofErr w:type="spellEnd"/>
      <w:r w:rsidRPr="0025639A">
        <w:rPr>
          <w:rFonts w:ascii="Times New Roman" w:hAnsi="Times New Roman" w:cs="Times New Roman"/>
          <w:sz w:val="28"/>
          <w:szCs w:val="28"/>
        </w:rPr>
        <w:t xml:space="preserve">, Л. В. Орлова </w:t>
      </w:r>
      <w:r w:rsidRPr="0025639A">
        <w:rPr>
          <w:rFonts w:ascii="Times New Roman" w:hAnsi="Times New Roman" w:cs="Times New Roman"/>
          <w:sz w:val="28"/>
          <w:szCs w:val="28"/>
        </w:rPr>
        <w:lastRenderedPageBreak/>
        <w:t>// Тенденции развития науки и образования. – 2024. – № 116-7. – С. 28-31. – DOI 10.18411/trnio-12-2024-282. – EDN FMJRFP.</w:t>
      </w:r>
      <w:bookmarkEnd w:id="2"/>
    </w:p>
    <w:p w14:paraId="628D444F" w14:textId="217D961B" w:rsidR="0025639A" w:rsidRDefault="0025639A"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3" w:name="_Ref214895876"/>
      <w:proofErr w:type="spellStart"/>
      <w:r>
        <w:rPr>
          <w:rFonts w:ascii="Times New Roman" w:hAnsi="Times New Roman" w:cs="Times New Roman"/>
          <w:sz w:val="28"/>
          <w:szCs w:val="28"/>
        </w:rPr>
        <w:t>Дугаржапова</w:t>
      </w:r>
      <w:proofErr w:type="spellEnd"/>
      <w:r>
        <w:rPr>
          <w:rFonts w:ascii="Times New Roman" w:hAnsi="Times New Roman" w:cs="Times New Roman"/>
          <w:sz w:val="28"/>
          <w:szCs w:val="28"/>
        </w:rPr>
        <w:t xml:space="preserve"> М.А., Одоева О.И., Батуева Д.Д., Иванова М.Д. Актуальные вопросы повышения финансовой грамотности населения Республики Бурятия // Вестник Бурятского государственного университета. Экономика и менеджмент. 2019. №3. С. 40-48.</w:t>
      </w:r>
      <w:bookmarkEnd w:id="3"/>
    </w:p>
    <w:p w14:paraId="5A41A6CB" w14:textId="3E805FDE" w:rsidR="0025639A" w:rsidRDefault="0025639A"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4" w:name="_Ref214895811"/>
      <w:r>
        <w:rPr>
          <w:rFonts w:ascii="Times New Roman" w:hAnsi="Times New Roman" w:cs="Times New Roman"/>
          <w:sz w:val="28"/>
          <w:szCs w:val="28"/>
        </w:rPr>
        <w:t>Анализ тенденций в сегменте розничного кредитования на основе данных бюро кредитных историй</w:t>
      </w:r>
      <w:r w:rsidRPr="0025639A">
        <w:rPr>
          <w:rFonts w:ascii="Times New Roman" w:hAnsi="Times New Roman" w:cs="Times New Roman"/>
          <w:sz w:val="28"/>
          <w:szCs w:val="28"/>
        </w:rPr>
        <w:t xml:space="preserve"> [Электронный ресурс] // Официальный сайт Центрального банка Российской Федерации. - 202</w:t>
      </w:r>
      <w:r>
        <w:rPr>
          <w:rFonts w:ascii="Times New Roman" w:hAnsi="Times New Roman" w:cs="Times New Roman"/>
          <w:sz w:val="28"/>
          <w:szCs w:val="28"/>
        </w:rPr>
        <w:t>5</w:t>
      </w:r>
      <w:r w:rsidRPr="0025639A">
        <w:rPr>
          <w:rFonts w:ascii="Times New Roman" w:hAnsi="Times New Roman" w:cs="Times New Roman"/>
          <w:sz w:val="28"/>
          <w:szCs w:val="28"/>
        </w:rPr>
        <w:t xml:space="preserve">. - URL: https://cbr.ru/Collection/Collection/File/55834/inf-material_bki_2024sh.pdf </w:t>
      </w:r>
      <w:r>
        <w:rPr>
          <w:rFonts w:ascii="Times New Roman" w:hAnsi="Times New Roman" w:cs="Times New Roman"/>
          <w:sz w:val="28"/>
          <w:szCs w:val="28"/>
        </w:rPr>
        <w:t>(</w:t>
      </w:r>
      <w:r w:rsidRPr="0025639A">
        <w:rPr>
          <w:rFonts w:ascii="Times New Roman" w:hAnsi="Times New Roman" w:cs="Times New Roman"/>
          <w:sz w:val="28"/>
          <w:szCs w:val="28"/>
        </w:rPr>
        <w:t xml:space="preserve">дата обращения: </w:t>
      </w:r>
      <w:r>
        <w:rPr>
          <w:rFonts w:ascii="Times New Roman" w:hAnsi="Times New Roman" w:cs="Times New Roman"/>
          <w:sz w:val="28"/>
          <w:szCs w:val="28"/>
        </w:rPr>
        <w:t>25</w:t>
      </w:r>
      <w:r w:rsidRPr="0025639A">
        <w:rPr>
          <w:rFonts w:ascii="Times New Roman" w:hAnsi="Times New Roman" w:cs="Times New Roman"/>
          <w:sz w:val="28"/>
          <w:szCs w:val="28"/>
        </w:rPr>
        <w:t>.</w:t>
      </w:r>
      <w:r>
        <w:rPr>
          <w:rFonts w:ascii="Times New Roman" w:hAnsi="Times New Roman" w:cs="Times New Roman"/>
          <w:sz w:val="28"/>
          <w:szCs w:val="28"/>
        </w:rPr>
        <w:t>10</w:t>
      </w:r>
      <w:r w:rsidRPr="0025639A">
        <w:rPr>
          <w:rFonts w:ascii="Times New Roman" w:hAnsi="Times New Roman" w:cs="Times New Roman"/>
          <w:sz w:val="28"/>
          <w:szCs w:val="28"/>
        </w:rPr>
        <w:t>.2025).</w:t>
      </w:r>
      <w:bookmarkEnd w:id="4"/>
    </w:p>
    <w:p w14:paraId="6AA0DF76" w14:textId="05930D39" w:rsidR="0025639A" w:rsidRDefault="0025639A"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5" w:name="_Ref214895786"/>
      <w:r w:rsidRPr="0025639A">
        <w:rPr>
          <w:rFonts w:ascii="Times New Roman" w:hAnsi="Times New Roman" w:cs="Times New Roman"/>
          <w:sz w:val="28"/>
          <w:szCs w:val="28"/>
        </w:rPr>
        <w:t>Количество платежных карт, эмитированных кредитными организациями, по типам карт. [Электронный ресурс] // Официальный сайт Центрального банка Российской Федерации. - 202</w:t>
      </w:r>
      <w:r>
        <w:rPr>
          <w:rFonts w:ascii="Times New Roman" w:hAnsi="Times New Roman" w:cs="Times New Roman"/>
          <w:sz w:val="28"/>
          <w:szCs w:val="28"/>
        </w:rPr>
        <w:t>5</w:t>
      </w:r>
      <w:r w:rsidRPr="0025639A">
        <w:rPr>
          <w:rFonts w:ascii="Times New Roman" w:hAnsi="Times New Roman" w:cs="Times New Roman"/>
          <w:sz w:val="28"/>
          <w:szCs w:val="28"/>
        </w:rPr>
        <w:t>. - URL: https://cbr.ru/statistics/nps/psrf/ (дата обращения 12.</w:t>
      </w:r>
      <w:r w:rsidR="00B57F38">
        <w:rPr>
          <w:rFonts w:ascii="Times New Roman" w:hAnsi="Times New Roman" w:cs="Times New Roman"/>
          <w:sz w:val="28"/>
          <w:szCs w:val="28"/>
        </w:rPr>
        <w:t>11</w:t>
      </w:r>
      <w:r w:rsidRPr="0025639A">
        <w:rPr>
          <w:rFonts w:ascii="Times New Roman" w:hAnsi="Times New Roman" w:cs="Times New Roman"/>
          <w:sz w:val="28"/>
          <w:szCs w:val="28"/>
        </w:rPr>
        <w:t>.202</w:t>
      </w:r>
      <w:r w:rsidR="00B57F38">
        <w:rPr>
          <w:rFonts w:ascii="Times New Roman" w:hAnsi="Times New Roman" w:cs="Times New Roman"/>
          <w:sz w:val="28"/>
          <w:szCs w:val="28"/>
        </w:rPr>
        <w:t>5</w:t>
      </w:r>
      <w:r w:rsidRPr="0025639A">
        <w:rPr>
          <w:rFonts w:ascii="Times New Roman" w:hAnsi="Times New Roman" w:cs="Times New Roman"/>
          <w:sz w:val="28"/>
          <w:szCs w:val="28"/>
        </w:rPr>
        <w:t xml:space="preserve"> г.)</w:t>
      </w:r>
      <w:bookmarkEnd w:id="5"/>
    </w:p>
    <w:p w14:paraId="3D94B1AB" w14:textId="5B4F3CC4" w:rsidR="00B57F38" w:rsidRDefault="00B57F38"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6" w:name="_Ref214895824"/>
      <w:r w:rsidRPr="00B57F38">
        <w:rPr>
          <w:rFonts w:ascii="Times New Roman" w:hAnsi="Times New Roman" w:cs="Times New Roman"/>
          <w:sz w:val="28"/>
          <w:szCs w:val="28"/>
        </w:rPr>
        <w:t>Официальный сайт Банка России. [Электронный ресурс]. URL: https://www.cbr.ru (дата обращения 20.</w:t>
      </w:r>
      <w:r>
        <w:rPr>
          <w:rFonts w:ascii="Times New Roman" w:hAnsi="Times New Roman" w:cs="Times New Roman"/>
          <w:sz w:val="28"/>
          <w:szCs w:val="28"/>
        </w:rPr>
        <w:t>10</w:t>
      </w:r>
      <w:r w:rsidRPr="00B57F38">
        <w:rPr>
          <w:rFonts w:ascii="Times New Roman" w:hAnsi="Times New Roman" w:cs="Times New Roman"/>
          <w:sz w:val="28"/>
          <w:szCs w:val="28"/>
        </w:rPr>
        <w:t>.2025 г.)</w:t>
      </w:r>
      <w:bookmarkEnd w:id="6"/>
    </w:p>
    <w:p w14:paraId="36037EA3" w14:textId="0F7D7EE5" w:rsidR="00B57F38" w:rsidRDefault="00B57F38"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7" w:name="_Ref214895969"/>
      <w:r w:rsidRPr="00B57F38">
        <w:rPr>
          <w:rFonts w:ascii="Times New Roman" w:hAnsi="Times New Roman" w:cs="Times New Roman"/>
          <w:sz w:val="28"/>
          <w:szCs w:val="28"/>
        </w:rPr>
        <w:t>Всероссийский центр изучения общественного мнения [Электронный ресурс] //: [сайт] - URL: https://wciom.ru/ (дата обращения: 05.09.2025)</w:t>
      </w:r>
      <w:bookmarkEnd w:id="7"/>
    </w:p>
    <w:p w14:paraId="10843085" w14:textId="1AE0C2EA" w:rsidR="00B57F38" w:rsidRDefault="00B57F38" w:rsidP="00491D9E">
      <w:pPr>
        <w:pStyle w:val="a7"/>
        <w:numPr>
          <w:ilvl w:val="0"/>
          <w:numId w:val="1"/>
        </w:numPr>
        <w:spacing w:after="0" w:line="360" w:lineRule="auto"/>
        <w:ind w:left="0" w:firstLine="567"/>
        <w:jc w:val="both"/>
        <w:rPr>
          <w:rFonts w:ascii="Times New Roman" w:hAnsi="Times New Roman" w:cs="Times New Roman"/>
          <w:sz w:val="28"/>
          <w:szCs w:val="28"/>
        </w:rPr>
      </w:pPr>
      <w:bookmarkStart w:id="8" w:name="_Ref214895978"/>
      <w:r>
        <w:rPr>
          <w:rFonts w:ascii="Times New Roman" w:hAnsi="Times New Roman" w:cs="Times New Roman"/>
          <w:sz w:val="28"/>
          <w:szCs w:val="28"/>
          <w:lang w:val="en-US"/>
        </w:rPr>
        <w:t>Frank</w:t>
      </w:r>
      <w:r w:rsidRPr="00B57F38">
        <w:rPr>
          <w:rFonts w:ascii="Times New Roman" w:hAnsi="Times New Roman" w:cs="Times New Roman"/>
          <w:sz w:val="28"/>
          <w:szCs w:val="28"/>
        </w:rPr>
        <w:t xml:space="preserve"> </w:t>
      </w:r>
      <w:r>
        <w:rPr>
          <w:rFonts w:ascii="Times New Roman" w:hAnsi="Times New Roman" w:cs="Times New Roman"/>
          <w:sz w:val="28"/>
          <w:szCs w:val="28"/>
          <w:lang w:val="en-US"/>
        </w:rPr>
        <w:t>RG</w:t>
      </w:r>
      <w:r w:rsidRPr="00B57F38">
        <w:rPr>
          <w:rFonts w:ascii="Times New Roman" w:hAnsi="Times New Roman" w:cs="Times New Roman"/>
          <w:sz w:val="28"/>
          <w:szCs w:val="28"/>
        </w:rPr>
        <w:t>. Результаты исследования кредитных карт и рассрочки в России в 2024 г. [Электронный ресурс]. URL: https://frankrg.com/news/frank-rg-obyavila-pobeditelej-frank-credit-cards-award-2024 (дата обращения 20.</w:t>
      </w:r>
      <w:r>
        <w:rPr>
          <w:rFonts w:ascii="Times New Roman" w:hAnsi="Times New Roman" w:cs="Times New Roman"/>
          <w:sz w:val="28"/>
          <w:szCs w:val="28"/>
        </w:rPr>
        <w:t>10</w:t>
      </w:r>
      <w:r w:rsidRPr="00B57F38">
        <w:rPr>
          <w:rFonts w:ascii="Times New Roman" w:hAnsi="Times New Roman" w:cs="Times New Roman"/>
          <w:sz w:val="28"/>
          <w:szCs w:val="28"/>
        </w:rPr>
        <w:t>.2025 г.)</w:t>
      </w:r>
      <w:bookmarkEnd w:id="8"/>
    </w:p>
    <w:p w14:paraId="3EE8A67B" w14:textId="59C33DC6" w:rsidR="00B57F38" w:rsidRPr="006E18DD" w:rsidRDefault="00B57F38" w:rsidP="00491D9E">
      <w:pPr>
        <w:pStyle w:val="a7"/>
        <w:numPr>
          <w:ilvl w:val="0"/>
          <w:numId w:val="1"/>
        </w:numPr>
        <w:spacing w:after="0" w:line="360" w:lineRule="auto"/>
        <w:ind w:left="0" w:firstLine="567"/>
        <w:jc w:val="both"/>
        <w:rPr>
          <w:rFonts w:ascii="Times New Roman" w:hAnsi="Times New Roman" w:cs="Times New Roman"/>
          <w:sz w:val="28"/>
          <w:szCs w:val="28"/>
        </w:rPr>
      </w:pPr>
      <w:r w:rsidRPr="00B57F38">
        <w:rPr>
          <w:rFonts w:ascii="Times New Roman" w:hAnsi="Times New Roman" w:cs="Times New Roman"/>
          <w:sz w:val="28"/>
          <w:szCs w:val="28"/>
        </w:rPr>
        <w:t xml:space="preserve"> </w:t>
      </w:r>
      <w:bookmarkStart w:id="9" w:name="_Ref214895991"/>
      <w:r>
        <w:rPr>
          <w:rFonts w:ascii="Times New Roman" w:hAnsi="Times New Roman" w:cs="Times New Roman"/>
          <w:sz w:val="28"/>
          <w:szCs w:val="28"/>
        </w:rPr>
        <w:t>Российская финансовая платформа онлайн-сервисов «</w:t>
      </w:r>
      <w:proofErr w:type="spellStart"/>
      <w:r>
        <w:rPr>
          <w:rFonts w:ascii="Times New Roman" w:hAnsi="Times New Roman" w:cs="Times New Roman"/>
          <w:sz w:val="28"/>
          <w:szCs w:val="28"/>
        </w:rPr>
        <w:t>Банки</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у</w:t>
      </w:r>
      <w:proofErr w:type="spellEnd"/>
      <w:r>
        <w:rPr>
          <w:rFonts w:ascii="Times New Roman" w:hAnsi="Times New Roman" w:cs="Times New Roman"/>
          <w:sz w:val="28"/>
          <w:szCs w:val="28"/>
        </w:rPr>
        <w:t xml:space="preserve">». </w:t>
      </w:r>
      <w:r w:rsidRPr="00B57F38">
        <w:rPr>
          <w:rFonts w:ascii="Times New Roman" w:hAnsi="Times New Roman" w:cs="Times New Roman"/>
          <w:sz w:val="28"/>
          <w:szCs w:val="28"/>
        </w:rPr>
        <w:t xml:space="preserve">[Электронный ресурс]. URL: https://www.banki.ru/ (дата обращения </w:t>
      </w:r>
      <w:r>
        <w:rPr>
          <w:rFonts w:ascii="Times New Roman" w:hAnsi="Times New Roman" w:cs="Times New Roman"/>
          <w:sz w:val="28"/>
          <w:szCs w:val="28"/>
        </w:rPr>
        <w:t>05</w:t>
      </w:r>
      <w:r w:rsidRPr="00B57F38">
        <w:rPr>
          <w:rFonts w:ascii="Times New Roman" w:hAnsi="Times New Roman" w:cs="Times New Roman"/>
          <w:sz w:val="28"/>
          <w:szCs w:val="28"/>
        </w:rPr>
        <w:t>.</w:t>
      </w:r>
      <w:r>
        <w:rPr>
          <w:rFonts w:ascii="Times New Roman" w:hAnsi="Times New Roman" w:cs="Times New Roman"/>
          <w:sz w:val="28"/>
          <w:szCs w:val="28"/>
        </w:rPr>
        <w:t>11</w:t>
      </w:r>
      <w:r w:rsidRPr="00B57F38">
        <w:rPr>
          <w:rFonts w:ascii="Times New Roman" w:hAnsi="Times New Roman" w:cs="Times New Roman"/>
          <w:sz w:val="28"/>
          <w:szCs w:val="28"/>
        </w:rPr>
        <w:t>.2025 г.)</w:t>
      </w:r>
      <w:bookmarkEnd w:id="9"/>
    </w:p>
    <w:sectPr w:rsidR="00B57F38" w:rsidRPr="006E18DD" w:rsidSect="00E5517E">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F60B0"/>
    <w:multiLevelType w:val="hybridMultilevel"/>
    <w:tmpl w:val="DDF824C6"/>
    <w:lvl w:ilvl="0" w:tplc="D344944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17E"/>
    <w:rsid w:val="00052A86"/>
    <w:rsid w:val="000950B1"/>
    <w:rsid w:val="000B330E"/>
    <w:rsid w:val="000E7E6F"/>
    <w:rsid w:val="00123F6B"/>
    <w:rsid w:val="00165381"/>
    <w:rsid w:val="001B334C"/>
    <w:rsid w:val="001F72B7"/>
    <w:rsid w:val="00201717"/>
    <w:rsid w:val="002057FF"/>
    <w:rsid w:val="0025639A"/>
    <w:rsid w:val="00283D6F"/>
    <w:rsid w:val="0029562F"/>
    <w:rsid w:val="002B3E0C"/>
    <w:rsid w:val="002C1E11"/>
    <w:rsid w:val="002E29E0"/>
    <w:rsid w:val="002E6E45"/>
    <w:rsid w:val="002F7A65"/>
    <w:rsid w:val="003D56CD"/>
    <w:rsid w:val="003E0CC3"/>
    <w:rsid w:val="003E1AF9"/>
    <w:rsid w:val="00403593"/>
    <w:rsid w:val="004768EC"/>
    <w:rsid w:val="00491D9E"/>
    <w:rsid w:val="004E56D8"/>
    <w:rsid w:val="004F2D50"/>
    <w:rsid w:val="004F719F"/>
    <w:rsid w:val="0050495B"/>
    <w:rsid w:val="005435F3"/>
    <w:rsid w:val="005D5E9B"/>
    <w:rsid w:val="00600490"/>
    <w:rsid w:val="006134A0"/>
    <w:rsid w:val="006A1EDE"/>
    <w:rsid w:val="006B4CCC"/>
    <w:rsid w:val="006E18DD"/>
    <w:rsid w:val="0072392E"/>
    <w:rsid w:val="00736F27"/>
    <w:rsid w:val="007A0EBA"/>
    <w:rsid w:val="00846C5B"/>
    <w:rsid w:val="0089632E"/>
    <w:rsid w:val="00A06F09"/>
    <w:rsid w:val="00A76F2C"/>
    <w:rsid w:val="00B2204D"/>
    <w:rsid w:val="00B27E3D"/>
    <w:rsid w:val="00B46778"/>
    <w:rsid w:val="00B57F38"/>
    <w:rsid w:val="00C13358"/>
    <w:rsid w:val="00C35450"/>
    <w:rsid w:val="00C534E1"/>
    <w:rsid w:val="00CA3A6D"/>
    <w:rsid w:val="00CA7F27"/>
    <w:rsid w:val="00CC4D2D"/>
    <w:rsid w:val="00DC15D0"/>
    <w:rsid w:val="00E5517E"/>
    <w:rsid w:val="00E602FC"/>
    <w:rsid w:val="00EE3BA8"/>
    <w:rsid w:val="00F023CC"/>
    <w:rsid w:val="00FE3E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5B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551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E551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E5517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E5517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E5517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E5517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5517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5517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5517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5517E"/>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E5517E"/>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E5517E"/>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E5517E"/>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E5517E"/>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E5517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5517E"/>
    <w:rPr>
      <w:rFonts w:eastAsiaTheme="majorEastAsia" w:cstheme="majorBidi"/>
      <w:color w:val="595959" w:themeColor="text1" w:themeTint="A6"/>
    </w:rPr>
  </w:style>
  <w:style w:type="character" w:customStyle="1" w:styleId="80">
    <w:name w:val="Заголовок 8 Знак"/>
    <w:basedOn w:val="a0"/>
    <w:link w:val="8"/>
    <w:uiPriority w:val="9"/>
    <w:semiHidden/>
    <w:rsid w:val="00E5517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5517E"/>
    <w:rPr>
      <w:rFonts w:eastAsiaTheme="majorEastAsia" w:cstheme="majorBidi"/>
      <w:color w:val="272727" w:themeColor="text1" w:themeTint="D8"/>
    </w:rPr>
  </w:style>
  <w:style w:type="paragraph" w:styleId="a3">
    <w:name w:val="Title"/>
    <w:basedOn w:val="a"/>
    <w:next w:val="a"/>
    <w:link w:val="a4"/>
    <w:uiPriority w:val="10"/>
    <w:qFormat/>
    <w:rsid w:val="00E551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E5517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5517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E5517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5517E"/>
    <w:pPr>
      <w:spacing w:before="160"/>
      <w:jc w:val="center"/>
    </w:pPr>
    <w:rPr>
      <w:i/>
      <w:iCs/>
      <w:color w:val="404040" w:themeColor="text1" w:themeTint="BF"/>
    </w:rPr>
  </w:style>
  <w:style w:type="character" w:customStyle="1" w:styleId="22">
    <w:name w:val="Цитата 2 Знак"/>
    <w:basedOn w:val="a0"/>
    <w:link w:val="21"/>
    <w:uiPriority w:val="29"/>
    <w:rsid w:val="00E5517E"/>
    <w:rPr>
      <w:i/>
      <w:iCs/>
      <w:color w:val="404040" w:themeColor="text1" w:themeTint="BF"/>
    </w:rPr>
  </w:style>
  <w:style w:type="paragraph" w:styleId="a7">
    <w:name w:val="List Paragraph"/>
    <w:basedOn w:val="a"/>
    <w:uiPriority w:val="34"/>
    <w:qFormat/>
    <w:rsid w:val="00E5517E"/>
    <w:pPr>
      <w:ind w:left="720"/>
      <w:contextualSpacing/>
    </w:pPr>
  </w:style>
  <w:style w:type="character" w:styleId="a8">
    <w:name w:val="Intense Emphasis"/>
    <w:basedOn w:val="a0"/>
    <w:uiPriority w:val="21"/>
    <w:qFormat/>
    <w:rsid w:val="00E5517E"/>
    <w:rPr>
      <w:i/>
      <w:iCs/>
      <w:color w:val="0F4761" w:themeColor="accent1" w:themeShade="BF"/>
    </w:rPr>
  </w:style>
  <w:style w:type="paragraph" w:styleId="a9">
    <w:name w:val="Intense Quote"/>
    <w:basedOn w:val="a"/>
    <w:next w:val="a"/>
    <w:link w:val="aa"/>
    <w:uiPriority w:val="30"/>
    <w:qFormat/>
    <w:rsid w:val="00E551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E5517E"/>
    <w:rPr>
      <w:i/>
      <w:iCs/>
      <w:color w:val="0F4761" w:themeColor="accent1" w:themeShade="BF"/>
    </w:rPr>
  </w:style>
  <w:style w:type="character" w:styleId="ab">
    <w:name w:val="Intense Reference"/>
    <w:basedOn w:val="a0"/>
    <w:uiPriority w:val="32"/>
    <w:qFormat/>
    <w:rsid w:val="00E5517E"/>
    <w:rPr>
      <w:b/>
      <w:bCs/>
      <w:smallCaps/>
      <w:color w:val="0F4761" w:themeColor="accent1" w:themeShade="BF"/>
      <w:spacing w:val="5"/>
    </w:rPr>
  </w:style>
  <w:style w:type="character" w:styleId="ac">
    <w:name w:val="Hyperlink"/>
    <w:basedOn w:val="a0"/>
    <w:uiPriority w:val="99"/>
    <w:unhideWhenUsed/>
    <w:rsid w:val="004E56D8"/>
    <w:rPr>
      <w:color w:val="467886" w:themeColor="hyperlink"/>
      <w:u w:val="single"/>
    </w:rPr>
  </w:style>
  <w:style w:type="character" w:customStyle="1" w:styleId="UnresolvedMention">
    <w:name w:val="Unresolved Mention"/>
    <w:basedOn w:val="a0"/>
    <w:uiPriority w:val="99"/>
    <w:semiHidden/>
    <w:unhideWhenUsed/>
    <w:rsid w:val="004E56D8"/>
    <w:rPr>
      <w:color w:val="605E5C"/>
      <w:shd w:val="clear" w:color="auto" w:fill="E1DFDD"/>
    </w:rPr>
  </w:style>
  <w:style w:type="character" w:styleId="ad">
    <w:name w:val="FollowedHyperlink"/>
    <w:basedOn w:val="a0"/>
    <w:uiPriority w:val="99"/>
    <w:semiHidden/>
    <w:unhideWhenUsed/>
    <w:rsid w:val="007A0EBA"/>
    <w:rPr>
      <w:color w:val="96607D" w:themeColor="followedHyperlink"/>
      <w:u w:val="single"/>
    </w:rPr>
  </w:style>
  <w:style w:type="table" w:styleId="ae">
    <w:name w:val="Table Grid"/>
    <w:basedOn w:val="a1"/>
    <w:uiPriority w:val="39"/>
    <w:rsid w:val="007A0E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uiPriority w:val="99"/>
    <w:semiHidden/>
    <w:unhideWhenUsed/>
    <w:rsid w:val="00FE3EDE"/>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E3E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551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E551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E5517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E5517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E5517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E5517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E5517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E5517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E5517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5517E"/>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E5517E"/>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E5517E"/>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E5517E"/>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E5517E"/>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E5517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E5517E"/>
    <w:rPr>
      <w:rFonts w:eastAsiaTheme="majorEastAsia" w:cstheme="majorBidi"/>
      <w:color w:val="595959" w:themeColor="text1" w:themeTint="A6"/>
    </w:rPr>
  </w:style>
  <w:style w:type="character" w:customStyle="1" w:styleId="80">
    <w:name w:val="Заголовок 8 Знак"/>
    <w:basedOn w:val="a0"/>
    <w:link w:val="8"/>
    <w:uiPriority w:val="9"/>
    <w:semiHidden/>
    <w:rsid w:val="00E5517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E5517E"/>
    <w:rPr>
      <w:rFonts w:eastAsiaTheme="majorEastAsia" w:cstheme="majorBidi"/>
      <w:color w:val="272727" w:themeColor="text1" w:themeTint="D8"/>
    </w:rPr>
  </w:style>
  <w:style w:type="paragraph" w:styleId="a3">
    <w:name w:val="Title"/>
    <w:basedOn w:val="a"/>
    <w:next w:val="a"/>
    <w:link w:val="a4"/>
    <w:uiPriority w:val="10"/>
    <w:qFormat/>
    <w:rsid w:val="00E551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E5517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5517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E5517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5517E"/>
    <w:pPr>
      <w:spacing w:before="160"/>
      <w:jc w:val="center"/>
    </w:pPr>
    <w:rPr>
      <w:i/>
      <w:iCs/>
      <w:color w:val="404040" w:themeColor="text1" w:themeTint="BF"/>
    </w:rPr>
  </w:style>
  <w:style w:type="character" w:customStyle="1" w:styleId="22">
    <w:name w:val="Цитата 2 Знак"/>
    <w:basedOn w:val="a0"/>
    <w:link w:val="21"/>
    <w:uiPriority w:val="29"/>
    <w:rsid w:val="00E5517E"/>
    <w:rPr>
      <w:i/>
      <w:iCs/>
      <w:color w:val="404040" w:themeColor="text1" w:themeTint="BF"/>
    </w:rPr>
  </w:style>
  <w:style w:type="paragraph" w:styleId="a7">
    <w:name w:val="List Paragraph"/>
    <w:basedOn w:val="a"/>
    <w:uiPriority w:val="34"/>
    <w:qFormat/>
    <w:rsid w:val="00E5517E"/>
    <w:pPr>
      <w:ind w:left="720"/>
      <w:contextualSpacing/>
    </w:pPr>
  </w:style>
  <w:style w:type="character" w:styleId="a8">
    <w:name w:val="Intense Emphasis"/>
    <w:basedOn w:val="a0"/>
    <w:uiPriority w:val="21"/>
    <w:qFormat/>
    <w:rsid w:val="00E5517E"/>
    <w:rPr>
      <w:i/>
      <w:iCs/>
      <w:color w:val="0F4761" w:themeColor="accent1" w:themeShade="BF"/>
    </w:rPr>
  </w:style>
  <w:style w:type="paragraph" w:styleId="a9">
    <w:name w:val="Intense Quote"/>
    <w:basedOn w:val="a"/>
    <w:next w:val="a"/>
    <w:link w:val="aa"/>
    <w:uiPriority w:val="30"/>
    <w:qFormat/>
    <w:rsid w:val="00E551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E5517E"/>
    <w:rPr>
      <w:i/>
      <w:iCs/>
      <w:color w:val="0F4761" w:themeColor="accent1" w:themeShade="BF"/>
    </w:rPr>
  </w:style>
  <w:style w:type="character" w:styleId="ab">
    <w:name w:val="Intense Reference"/>
    <w:basedOn w:val="a0"/>
    <w:uiPriority w:val="32"/>
    <w:qFormat/>
    <w:rsid w:val="00E5517E"/>
    <w:rPr>
      <w:b/>
      <w:bCs/>
      <w:smallCaps/>
      <w:color w:val="0F4761" w:themeColor="accent1" w:themeShade="BF"/>
      <w:spacing w:val="5"/>
    </w:rPr>
  </w:style>
  <w:style w:type="character" w:styleId="ac">
    <w:name w:val="Hyperlink"/>
    <w:basedOn w:val="a0"/>
    <w:uiPriority w:val="99"/>
    <w:unhideWhenUsed/>
    <w:rsid w:val="004E56D8"/>
    <w:rPr>
      <w:color w:val="467886" w:themeColor="hyperlink"/>
      <w:u w:val="single"/>
    </w:rPr>
  </w:style>
  <w:style w:type="character" w:customStyle="1" w:styleId="UnresolvedMention">
    <w:name w:val="Unresolved Mention"/>
    <w:basedOn w:val="a0"/>
    <w:uiPriority w:val="99"/>
    <w:semiHidden/>
    <w:unhideWhenUsed/>
    <w:rsid w:val="004E56D8"/>
    <w:rPr>
      <w:color w:val="605E5C"/>
      <w:shd w:val="clear" w:color="auto" w:fill="E1DFDD"/>
    </w:rPr>
  </w:style>
  <w:style w:type="character" w:styleId="ad">
    <w:name w:val="FollowedHyperlink"/>
    <w:basedOn w:val="a0"/>
    <w:uiPriority w:val="99"/>
    <w:semiHidden/>
    <w:unhideWhenUsed/>
    <w:rsid w:val="007A0EBA"/>
    <w:rPr>
      <w:color w:val="96607D" w:themeColor="followedHyperlink"/>
      <w:u w:val="single"/>
    </w:rPr>
  </w:style>
  <w:style w:type="table" w:styleId="ae">
    <w:name w:val="Table Grid"/>
    <w:basedOn w:val="a1"/>
    <w:uiPriority w:val="39"/>
    <w:rsid w:val="007A0E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uiPriority w:val="99"/>
    <w:semiHidden/>
    <w:unhideWhenUsed/>
    <w:rsid w:val="00FE3EDE"/>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FE3E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tyles" Target="style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chart" Target="charts/chart4.xml"/><Relationship Id="rId4" Type="http://schemas.microsoft.com/office/2007/relationships/stylesWithEffects" Target="stylesWithEffect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Excel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c:f>
              <c:strCache>
                <c:ptCount val="1"/>
                <c:pt idx="0">
                  <c:v>Количество кредитных карт</c:v>
                </c:pt>
              </c:strCache>
            </c:strRef>
          </c:tx>
          <c:spPr>
            <a:solidFill>
              <a:schemeClr val="tx2">
                <a:lumMod val="50000"/>
                <a:lumOff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Лист1!$A$2:$A$6</c:f>
              <c:strCache>
                <c:ptCount val="5"/>
                <c:pt idx="0">
                  <c:v>01.01.2020 г.</c:v>
                </c:pt>
                <c:pt idx="1">
                  <c:v>01.01.2021 г.</c:v>
                </c:pt>
                <c:pt idx="2">
                  <c:v>01.01.2022 г.</c:v>
                </c:pt>
                <c:pt idx="3">
                  <c:v>01.01.2023 г.</c:v>
                </c:pt>
                <c:pt idx="4">
                  <c:v>01.01.2024 г.</c:v>
                </c:pt>
              </c:strCache>
            </c:strRef>
          </c:cat>
          <c:val>
            <c:numRef>
              <c:f>Лист1!$B$2:$B$6</c:f>
              <c:numCache>
                <c:formatCode>General</c:formatCode>
                <c:ptCount val="5"/>
                <c:pt idx="0">
                  <c:v>37184</c:v>
                </c:pt>
                <c:pt idx="1">
                  <c:v>39143</c:v>
                </c:pt>
                <c:pt idx="2">
                  <c:v>40437</c:v>
                </c:pt>
                <c:pt idx="3">
                  <c:v>47429</c:v>
                </c:pt>
                <c:pt idx="4">
                  <c:v>54552</c:v>
                </c:pt>
              </c:numCache>
            </c:numRef>
          </c:val>
          <c:extLst xmlns:c16r2="http://schemas.microsoft.com/office/drawing/2015/06/chart">
            <c:ext xmlns:c16="http://schemas.microsoft.com/office/drawing/2014/chart" uri="{C3380CC4-5D6E-409C-BE32-E72D297353CC}">
              <c16:uniqueId val="{00000000-4A43-4454-A742-6AF84F7CC4F3}"/>
            </c:ext>
          </c:extLst>
        </c:ser>
        <c:dLbls>
          <c:dLblPos val="outEnd"/>
          <c:showLegendKey val="0"/>
          <c:showVal val="1"/>
          <c:showCatName val="0"/>
          <c:showSerName val="0"/>
          <c:showPercent val="0"/>
          <c:showBubbleSize val="0"/>
        </c:dLbls>
        <c:gapWidth val="219"/>
        <c:overlap val="-27"/>
        <c:axId val="80671872"/>
        <c:axId val="80941056"/>
      </c:barChart>
      <c:catAx>
        <c:axId val="80671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941056"/>
        <c:crosses val="autoZero"/>
        <c:auto val="1"/>
        <c:lblAlgn val="ctr"/>
        <c:lblOffset val="100"/>
        <c:noMultiLvlLbl val="0"/>
      </c:catAx>
      <c:valAx>
        <c:axId val="809410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6718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pieChart>
        <c:varyColors val="1"/>
        <c:ser>
          <c:idx val="0"/>
          <c:order val="0"/>
          <c:tx>
            <c:strRef>
              <c:f>Лист1!$B$1</c:f>
              <c:strCache>
                <c:ptCount val="1"/>
                <c:pt idx="0">
                  <c:v>01.01.2024 г.</c:v>
                </c:pt>
              </c:strCache>
            </c:strRef>
          </c:tx>
          <c:dPt>
            <c:idx val="0"/>
            <c:bubble3D val="0"/>
            <c:spPr>
              <a:solidFill>
                <a:schemeClr val="accent3">
                  <a:lumMod val="40000"/>
                  <a:lumOff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1-DB18-4518-A367-FC754EE0337D}"/>
              </c:ext>
            </c:extLst>
          </c:dPt>
          <c:dPt>
            <c:idx val="1"/>
            <c:bubble3D val="0"/>
            <c:spPr>
              <a:solidFill>
                <a:schemeClr val="accent4">
                  <a:lumMod val="40000"/>
                  <a:lumOff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3-DB18-4518-A367-FC754EE0337D}"/>
              </c:ext>
            </c:extLst>
          </c:dPt>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Лист1!$A$2:$A$3</c:f>
              <c:strCache>
                <c:ptCount val="2"/>
                <c:pt idx="0">
                  <c:v>Расчетные карты</c:v>
                </c:pt>
                <c:pt idx="1">
                  <c:v>Кредитные карты</c:v>
                </c:pt>
              </c:strCache>
            </c:strRef>
          </c:cat>
          <c:val>
            <c:numRef>
              <c:f>Лист1!$B$2:$B$3</c:f>
              <c:numCache>
                <c:formatCode>General</c:formatCode>
                <c:ptCount val="2"/>
                <c:pt idx="0">
                  <c:v>87.86</c:v>
                </c:pt>
                <c:pt idx="1">
                  <c:v>12.14</c:v>
                </c:pt>
              </c:numCache>
            </c:numRef>
          </c:val>
          <c:extLst xmlns:c16r2="http://schemas.microsoft.com/office/drawing/2015/06/chart">
            <c:ext xmlns:c16="http://schemas.microsoft.com/office/drawing/2014/chart" uri="{C3380CC4-5D6E-409C-BE32-E72D297353CC}">
              <c16:uniqueId val="{00000004-DB18-4518-A367-FC754EE0337D}"/>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6"/>
    </mc:Choice>
    <mc:Fallback>
      <c:style val="6"/>
    </mc:Fallback>
  </mc:AlternateContent>
  <c:chart>
    <c:autoTitleDeleted val="1"/>
    <c:plotArea>
      <c:layout/>
      <c:barChart>
        <c:barDir val="col"/>
        <c:grouping val="clustered"/>
        <c:varyColors val="0"/>
        <c:ser>
          <c:idx val="0"/>
          <c:order val="0"/>
          <c:tx>
            <c:strRef>
              <c:f>Лист1!$B$1</c:f>
              <c:strCache>
                <c:ptCount val="1"/>
                <c:pt idx="0">
                  <c:v>Кредитные карты</c:v>
                </c:pt>
              </c:strCache>
            </c:strRef>
          </c:tx>
          <c:spPr>
            <a:solidFill>
              <a:schemeClr val="accent4">
                <a:shade val="76000"/>
              </a:schemeClr>
            </a:solidFill>
            <a:ln>
              <a:noFill/>
            </a:ln>
            <a:effectLst/>
          </c:spPr>
          <c:invertIfNegative val="0"/>
          <c:dLbls>
            <c:spPr>
              <a:noFill/>
              <a:ln>
                <a:noFill/>
              </a:ln>
              <a:effectLst/>
            </c:spPr>
            <c:txPr>
              <a:bodyPr rot="0" spcFirstLastPara="1" vertOverflow="overflow" horzOverflow="overflow" wrap="square" anchor="ctr" anchorCtr="0">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ct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strRef>
              <c:f>Лист1!$A$2:$A$10</c:f>
              <c:strCache>
                <c:ptCount val="9"/>
                <c:pt idx="0">
                  <c:v>01.01.2023 г.</c:v>
                </c:pt>
                <c:pt idx="1">
                  <c:v>01.04.2023 г.</c:v>
                </c:pt>
                <c:pt idx="2">
                  <c:v>01.07.2023 г.</c:v>
                </c:pt>
                <c:pt idx="3">
                  <c:v>01.10.2023 г.</c:v>
                </c:pt>
                <c:pt idx="4">
                  <c:v>01.01.2024 г.</c:v>
                </c:pt>
                <c:pt idx="5">
                  <c:v>01.04.2024 г.</c:v>
                </c:pt>
                <c:pt idx="6">
                  <c:v>01.07.2024 г.</c:v>
                </c:pt>
                <c:pt idx="7">
                  <c:v>01.10.2024 г.</c:v>
                </c:pt>
                <c:pt idx="8">
                  <c:v>01.01.2025 г.</c:v>
                </c:pt>
              </c:strCache>
            </c:strRef>
          </c:cat>
          <c:val>
            <c:numRef>
              <c:f>Лист1!$B$2:$B$10</c:f>
              <c:numCache>
                <c:formatCode>General</c:formatCode>
                <c:ptCount val="9"/>
                <c:pt idx="0">
                  <c:v>21.1</c:v>
                </c:pt>
                <c:pt idx="1">
                  <c:v>22.4</c:v>
                </c:pt>
                <c:pt idx="2">
                  <c:v>23.7</c:v>
                </c:pt>
                <c:pt idx="3">
                  <c:v>25.2</c:v>
                </c:pt>
                <c:pt idx="4">
                  <c:v>26.8</c:v>
                </c:pt>
                <c:pt idx="5">
                  <c:v>27.5</c:v>
                </c:pt>
                <c:pt idx="6">
                  <c:v>28.6</c:v>
                </c:pt>
                <c:pt idx="7">
                  <c:v>28.8</c:v>
                </c:pt>
                <c:pt idx="8">
                  <c:v>28.4</c:v>
                </c:pt>
              </c:numCache>
            </c:numRef>
          </c:val>
          <c:extLst xmlns:c16r2="http://schemas.microsoft.com/office/drawing/2015/06/chart">
            <c:ext xmlns:c16="http://schemas.microsoft.com/office/drawing/2014/chart" uri="{C3380CC4-5D6E-409C-BE32-E72D297353CC}">
              <c16:uniqueId val="{00000000-839C-4312-8447-B177630C4E08}"/>
            </c:ext>
          </c:extLst>
        </c:ser>
        <c:ser>
          <c:idx val="1"/>
          <c:order val="1"/>
          <c:tx>
            <c:strRef>
              <c:f>Лист1!$C$1</c:f>
              <c:strCache>
                <c:ptCount val="1"/>
                <c:pt idx="0">
                  <c:v>Кредит наличными</c:v>
                </c:pt>
              </c:strCache>
            </c:strRef>
          </c:tx>
          <c:spPr>
            <a:solidFill>
              <a:schemeClr val="bg2">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Лист1!$A$2:$A$10</c:f>
              <c:strCache>
                <c:ptCount val="9"/>
                <c:pt idx="0">
                  <c:v>01.01.2023 г.</c:v>
                </c:pt>
                <c:pt idx="1">
                  <c:v>01.04.2023 г.</c:v>
                </c:pt>
                <c:pt idx="2">
                  <c:v>01.07.2023 г.</c:v>
                </c:pt>
                <c:pt idx="3">
                  <c:v>01.10.2023 г.</c:v>
                </c:pt>
                <c:pt idx="4">
                  <c:v>01.01.2024 г.</c:v>
                </c:pt>
                <c:pt idx="5">
                  <c:v>01.04.2024 г.</c:v>
                </c:pt>
                <c:pt idx="6">
                  <c:v>01.07.2024 г.</c:v>
                </c:pt>
                <c:pt idx="7">
                  <c:v>01.10.2024 г.</c:v>
                </c:pt>
                <c:pt idx="8">
                  <c:v>01.01.2025 г.</c:v>
                </c:pt>
              </c:strCache>
            </c:strRef>
          </c:cat>
          <c:val>
            <c:numRef>
              <c:f>Лист1!$C$2:$C$10</c:f>
              <c:numCache>
                <c:formatCode>General</c:formatCode>
                <c:ptCount val="9"/>
                <c:pt idx="0">
                  <c:v>22.4</c:v>
                </c:pt>
                <c:pt idx="1">
                  <c:v>22.4</c:v>
                </c:pt>
                <c:pt idx="2">
                  <c:v>22.7</c:v>
                </c:pt>
                <c:pt idx="3">
                  <c:v>22.9</c:v>
                </c:pt>
                <c:pt idx="4">
                  <c:v>22.6</c:v>
                </c:pt>
                <c:pt idx="5">
                  <c:v>22.5</c:v>
                </c:pt>
                <c:pt idx="6">
                  <c:v>22.5</c:v>
                </c:pt>
                <c:pt idx="7">
                  <c:v>22.5</c:v>
                </c:pt>
                <c:pt idx="8">
                  <c:v>21.5</c:v>
                </c:pt>
              </c:numCache>
            </c:numRef>
          </c:val>
          <c:extLst xmlns:c16r2="http://schemas.microsoft.com/office/drawing/2015/06/chart">
            <c:ext xmlns:c16="http://schemas.microsoft.com/office/drawing/2014/chart" uri="{C3380CC4-5D6E-409C-BE32-E72D297353CC}">
              <c16:uniqueId val="{00000001-839C-4312-8447-B177630C4E08}"/>
            </c:ext>
          </c:extLst>
        </c:ser>
        <c:dLbls>
          <c:showLegendKey val="0"/>
          <c:showVal val="1"/>
          <c:showCatName val="0"/>
          <c:showSerName val="0"/>
          <c:showPercent val="0"/>
          <c:showBubbleSize val="0"/>
        </c:dLbls>
        <c:gapWidth val="75"/>
        <c:axId val="82136064"/>
        <c:axId val="82154240"/>
      </c:barChart>
      <c:dateAx>
        <c:axId val="82136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2154240"/>
        <c:crosses val="autoZero"/>
        <c:auto val="0"/>
        <c:lblOffset val="100"/>
        <c:baseTimeUnit val="days"/>
      </c:dateAx>
      <c:valAx>
        <c:axId val="82154240"/>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21360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01.01.2025 г.</c:v>
                </c:pt>
              </c:strCache>
            </c:strRef>
          </c:tx>
          <c:dPt>
            <c:idx val="0"/>
            <c:bubble3D val="0"/>
            <c:spPr>
              <a:solidFill>
                <a:schemeClr val="accent2">
                  <a:lumMod val="60000"/>
                  <a:lumOff val="4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1-2331-4559-A59A-EC756FEDF0EA}"/>
              </c:ext>
            </c:extLst>
          </c:dPt>
          <c:dPt>
            <c:idx val="1"/>
            <c:bubble3D val="0"/>
            <c:spPr>
              <a:solidFill>
                <a:schemeClr val="accent6">
                  <a:lumMod val="40000"/>
                  <a:lumOff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3-2331-4559-A59A-EC756FEDF0EA}"/>
              </c:ext>
            </c:extLst>
          </c:dPt>
          <c:dPt>
            <c:idx val="2"/>
            <c:bubble3D val="0"/>
            <c:spPr>
              <a:solidFill>
                <a:schemeClr val="accent5">
                  <a:lumMod val="40000"/>
                  <a:lumOff val="6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5-8022-4611-A831-4C53A9217526}"/>
              </c:ext>
            </c:extLst>
          </c:dPt>
          <c:dPt>
            <c:idx val="3"/>
            <c:bubble3D val="0"/>
            <c:spPr>
              <a:solidFill>
                <a:schemeClr val="tx2">
                  <a:lumMod val="25000"/>
                  <a:lumOff val="75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7-8022-4611-A831-4C53A9217526}"/>
              </c:ext>
            </c:extLst>
          </c:dPt>
          <c:dPt>
            <c:idx val="4"/>
            <c:bubble3D val="0"/>
            <c:spPr>
              <a:solidFill>
                <a:schemeClr val="bg2">
                  <a:lumMod val="75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9-8022-4611-A831-4C53A9217526}"/>
              </c:ext>
            </c:extLst>
          </c:dPt>
          <c:dPt>
            <c:idx val="5"/>
            <c:bubble3D val="0"/>
            <c:spPr>
              <a:solidFill>
                <a:srgbClr val="FF5050"/>
              </a:solidFill>
              <a:ln w="19050">
                <a:solidFill>
                  <a:schemeClr val="lt1"/>
                </a:solidFill>
              </a:ln>
              <a:effectLst/>
            </c:spPr>
            <c:extLst xmlns:c16r2="http://schemas.microsoft.com/office/drawing/2015/06/chart">
              <c:ext xmlns:c16="http://schemas.microsoft.com/office/drawing/2014/chart" uri="{C3380CC4-5D6E-409C-BE32-E72D297353CC}">
                <c16:uniqueId val="{0000000B-8022-4611-A831-4C53A9217526}"/>
              </c:ext>
            </c:extLst>
          </c:dPt>
          <c:dPt>
            <c:idx val="6"/>
            <c:bubble3D val="0"/>
            <c:spPr>
              <a:solidFill>
                <a:schemeClr val="accent1">
                  <a:lumMod val="80000"/>
                  <a:lumOff val="20000"/>
                </a:schemeClr>
              </a:solidFill>
              <a:ln w="19050">
                <a:solidFill>
                  <a:schemeClr val="lt1"/>
                </a:solidFill>
              </a:ln>
              <a:effectLst/>
            </c:spPr>
            <c:extLst xmlns:c16r2="http://schemas.microsoft.com/office/drawing/2015/06/chart">
              <c:ext xmlns:c16="http://schemas.microsoft.com/office/drawing/2014/chart" uri="{C3380CC4-5D6E-409C-BE32-E72D297353CC}">
                <c16:uniqueId val="{0000000D-8022-4611-A831-4C53A9217526}"/>
              </c:ext>
            </c:extLst>
          </c:dPt>
          <c:dLbls>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Лист1!$A$2:$A$8</c:f>
              <c:strCache>
                <c:ptCount val="7"/>
                <c:pt idx="0">
                  <c:v>Менее 20 лет</c:v>
                </c:pt>
                <c:pt idx="1">
                  <c:v>20-30 лет</c:v>
                </c:pt>
                <c:pt idx="2">
                  <c:v>30-35 лет</c:v>
                </c:pt>
                <c:pt idx="3">
                  <c:v>35-40 лет</c:v>
                </c:pt>
                <c:pt idx="4">
                  <c:v>40-50 лет</c:v>
                </c:pt>
                <c:pt idx="5">
                  <c:v>50-60 лет</c:v>
                </c:pt>
                <c:pt idx="6">
                  <c:v>Более 60 лет</c:v>
                </c:pt>
              </c:strCache>
            </c:strRef>
          </c:cat>
          <c:val>
            <c:numRef>
              <c:f>Лист1!$B$2:$B$8</c:f>
              <c:numCache>
                <c:formatCode>General</c:formatCode>
                <c:ptCount val="7"/>
                <c:pt idx="0">
                  <c:v>12.1</c:v>
                </c:pt>
                <c:pt idx="1">
                  <c:v>21.6</c:v>
                </c:pt>
                <c:pt idx="2">
                  <c:v>12.3</c:v>
                </c:pt>
                <c:pt idx="3">
                  <c:v>13.4</c:v>
                </c:pt>
                <c:pt idx="4">
                  <c:v>19.600000000000001</c:v>
                </c:pt>
                <c:pt idx="5">
                  <c:v>12.8</c:v>
                </c:pt>
                <c:pt idx="6">
                  <c:v>8.4</c:v>
                </c:pt>
              </c:numCache>
            </c:numRef>
          </c:val>
          <c:extLst xmlns:c16r2="http://schemas.microsoft.com/office/drawing/2015/06/chart">
            <c:ext xmlns:c16="http://schemas.microsoft.com/office/drawing/2014/chart" uri="{C3380CC4-5D6E-409C-BE32-E72D297353CC}">
              <c16:uniqueId val="{00000004-2331-4559-A59A-EC756FEDF0EA}"/>
            </c:ext>
          </c:extLst>
        </c:ser>
        <c:dLbls>
          <c:showLegendKey val="0"/>
          <c:showVal val="0"/>
          <c:showCatName val="0"/>
          <c:showSerName val="0"/>
          <c:showPercent val="1"/>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4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B00F88-AFB6-48E7-8770-069F0443A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1676</Words>
  <Characters>9554</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llya iu</dc:creator>
  <cp:keywords/>
  <dc:description/>
  <cp:lastModifiedBy>s8yckova@yandex.ru</cp:lastModifiedBy>
  <cp:revision>3</cp:revision>
  <dcterms:created xsi:type="dcterms:W3CDTF">2025-11-24T09:05:00Z</dcterms:created>
  <dcterms:modified xsi:type="dcterms:W3CDTF">2025-12-04T08:47:00Z</dcterms:modified>
</cp:coreProperties>
</file>