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08DB23" w14:textId="7EAA9747" w:rsidR="000A4BA3" w:rsidRPr="00BC4E13" w:rsidRDefault="000A4BA3" w:rsidP="00BC4E13">
      <w:pPr>
        <w:spacing w:after="0" w:line="360" w:lineRule="auto"/>
        <w:ind w:firstLine="567"/>
        <w:jc w:val="right"/>
        <w:rPr>
          <w:rFonts w:ascii="Times New Roman" w:hAnsi="Times New Roman" w:cs="Times New Roman"/>
          <w:sz w:val="28"/>
          <w:szCs w:val="28"/>
          <w:lang w:val="en-US"/>
        </w:rPr>
      </w:pPr>
      <w:r>
        <w:rPr>
          <w:rFonts w:ascii="Times New Roman" w:hAnsi="Times New Roman" w:cs="Times New Roman"/>
          <w:sz w:val="28"/>
          <w:szCs w:val="28"/>
        </w:rPr>
        <w:t>УДК</w:t>
      </w:r>
      <w:r w:rsidRPr="00BC4E13">
        <w:rPr>
          <w:rFonts w:ascii="Times New Roman" w:hAnsi="Times New Roman" w:cs="Times New Roman"/>
          <w:sz w:val="28"/>
          <w:szCs w:val="28"/>
          <w:lang w:val="en-US"/>
        </w:rPr>
        <w:t xml:space="preserve"> </w:t>
      </w:r>
      <w:r w:rsidR="00594DC2" w:rsidRPr="00BC4E13">
        <w:rPr>
          <w:rFonts w:ascii="Times New Roman" w:hAnsi="Times New Roman" w:cs="Times New Roman"/>
          <w:sz w:val="28"/>
          <w:szCs w:val="28"/>
          <w:lang w:val="en-US"/>
        </w:rPr>
        <w:t>336.7</w:t>
      </w:r>
    </w:p>
    <w:p w14:paraId="77DBCAE9" w14:textId="1228FCA0" w:rsidR="004F719F" w:rsidRPr="00BC4E13" w:rsidRDefault="00BC4E13" w:rsidP="00BC4E13">
      <w:pPr>
        <w:spacing w:after="0" w:line="360" w:lineRule="auto"/>
        <w:ind w:firstLine="567"/>
        <w:jc w:val="center"/>
        <w:rPr>
          <w:rFonts w:ascii="Times New Roman" w:hAnsi="Times New Roman" w:cs="Times New Roman"/>
          <w:b/>
          <w:bCs/>
          <w:sz w:val="28"/>
          <w:szCs w:val="28"/>
          <w:lang w:val="en-US"/>
        </w:rPr>
      </w:pPr>
      <w:r w:rsidRPr="00BC4E13">
        <w:rPr>
          <w:rFonts w:ascii="Times New Roman" w:hAnsi="Times New Roman" w:cs="Times New Roman"/>
          <w:b/>
          <w:bCs/>
          <w:sz w:val="28"/>
          <w:szCs w:val="28"/>
        </w:rPr>
        <w:t>ЦИФРОВИЗАЦИЯ</w:t>
      </w:r>
      <w:r w:rsidRPr="00BC4E13">
        <w:rPr>
          <w:rFonts w:ascii="Times New Roman" w:hAnsi="Times New Roman" w:cs="Times New Roman"/>
          <w:b/>
          <w:bCs/>
          <w:sz w:val="28"/>
          <w:szCs w:val="28"/>
          <w:lang w:val="en-US"/>
        </w:rPr>
        <w:t xml:space="preserve"> </w:t>
      </w:r>
      <w:r w:rsidRPr="00BC4E13">
        <w:rPr>
          <w:rFonts w:ascii="Times New Roman" w:hAnsi="Times New Roman" w:cs="Times New Roman"/>
          <w:b/>
          <w:bCs/>
          <w:sz w:val="28"/>
          <w:szCs w:val="28"/>
        </w:rPr>
        <w:t>В</w:t>
      </w:r>
      <w:r w:rsidRPr="00BC4E13">
        <w:rPr>
          <w:rFonts w:ascii="Times New Roman" w:hAnsi="Times New Roman" w:cs="Times New Roman"/>
          <w:b/>
          <w:bCs/>
          <w:sz w:val="28"/>
          <w:szCs w:val="28"/>
          <w:lang w:val="en-US"/>
        </w:rPr>
        <w:t xml:space="preserve"> </w:t>
      </w:r>
      <w:r w:rsidRPr="00BC4E13">
        <w:rPr>
          <w:rFonts w:ascii="Times New Roman" w:hAnsi="Times New Roman" w:cs="Times New Roman"/>
          <w:b/>
          <w:bCs/>
          <w:sz w:val="28"/>
          <w:szCs w:val="28"/>
        </w:rPr>
        <w:t>БАНКОВСКОЙ</w:t>
      </w:r>
      <w:r w:rsidRPr="00BC4E13">
        <w:rPr>
          <w:rFonts w:ascii="Times New Roman" w:hAnsi="Times New Roman" w:cs="Times New Roman"/>
          <w:b/>
          <w:bCs/>
          <w:sz w:val="28"/>
          <w:szCs w:val="28"/>
          <w:lang w:val="en-US"/>
        </w:rPr>
        <w:t xml:space="preserve"> </w:t>
      </w:r>
      <w:r w:rsidRPr="00BC4E13">
        <w:rPr>
          <w:rFonts w:ascii="Times New Roman" w:hAnsi="Times New Roman" w:cs="Times New Roman"/>
          <w:b/>
          <w:bCs/>
          <w:sz w:val="28"/>
          <w:szCs w:val="28"/>
        </w:rPr>
        <w:t>СФЕРЕ</w:t>
      </w:r>
    </w:p>
    <w:p w14:paraId="40275C5B" w14:textId="6FBAED7F" w:rsidR="00BC4E13" w:rsidRPr="00BC4E13" w:rsidRDefault="00BC4E13" w:rsidP="00BC4E13">
      <w:pPr>
        <w:spacing w:after="0" w:line="360" w:lineRule="auto"/>
        <w:ind w:firstLine="567"/>
        <w:jc w:val="center"/>
        <w:rPr>
          <w:rFonts w:ascii="Times New Roman" w:hAnsi="Times New Roman" w:cs="Times New Roman"/>
          <w:b/>
          <w:bCs/>
          <w:sz w:val="28"/>
          <w:szCs w:val="28"/>
          <w:lang w:val="en-US"/>
        </w:rPr>
      </w:pPr>
      <w:r w:rsidRPr="00BC4E13">
        <w:rPr>
          <w:rFonts w:ascii="Times New Roman" w:hAnsi="Times New Roman" w:cs="Times New Roman"/>
          <w:b/>
          <w:bCs/>
          <w:sz w:val="28"/>
          <w:szCs w:val="28"/>
          <w:lang w:val="en-US"/>
        </w:rPr>
        <w:t>DIGITALIZATION IN THE BANKING SECTOR</w:t>
      </w:r>
    </w:p>
    <w:p w14:paraId="219EA3F7" w14:textId="77777777" w:rsidR="00594DC2" w:rsidRPr="005414C6" w:rsidRDefault="00594DC2" w:rsidP="00594DC2">
      <w:pPr>
        <w:spacing w:after="0" w:line="360" w:lineRule="auto"/>
        <w:ind w:firstLine="567"/>
        <w:jc w:val="right"/>
        <w:rPr>
          <w:rFonts w:ascii="Times New Roman" w:hAnsi="Times New Roman" w:cs="Times New Roman"/>
          <w:b/>
          <w:bCs/>
          <w:sz w:val="28"/>
          <w:szCs w:val="28"/>
        </w:rPr>
      </w:pPr>
      <w:r w:rsidRPr="00594DC2">
        <w:rPr>
          <w:rFonts w:ascii="Times New Roman" w:hAnsi="Times New Roman" w:cs="Times New Roman"/>
          <w:b/>
          <w:bCs/>
          <w:sz w:val="28"/>
          <w:szCs w:val="28"/>
        </w:rPr>
        <w:t>ВАМПИЛОВА</w:t>
      </w:r>
      <w:r w:rsidRPr="005414C6">
        <w:rPr>
          <w:rFonts w:ascii="Times New Roman" w:hAnsi="Times New Roman" w:cs="Times New Roman"/>
          <w:b/>
          <w:bCs/>
          <w:sz w:val="28"/>
          <w:szCs w:val="28"/>
        </w:rPr>
        <w:t xml:space="preserve"> </w:t>
      </w:r>
      <w:r w:rsidRPr="00594DC2">
        <w:rPr>
          <w:rFonts w:ascii="Times New Roman" w:hAnsi="Times New Roman" w:cs="Times New Roman"/>
          <w:b/>
          <w:bCs/>
          <w:sz w:val="28"/>
          <w:szCs w:val="28"/>
        </w:rPr>
        <w:t>АРЮНА</w:t>
      </w:r>
      <w:r w:rsidRPr="005414C6">
        <w:rPr>
          <w:rFonts w:ascii="Times New Roman" w:hAnsi="Times New Roman" w:cs="Times New Roman"/>
          <w:b/>
          <w:bCs/>
          <w:sz w:val="28"/>
          <w:szCs w:val="28"/>
        </w:rPr>
        <w:t xml:space="preserve"> </w:t>
      </w:r>
      <w:r w:rsidRPr="00594DC2">
        <w:rPr>
          <w:rFonts w:ascii="Times New Roman" w:hAnsi="Times New Roman" w:cs="Times New Roman"/>
          <w:b/>
          <w:bCs/>
          <w:sz w:val="28"/>
          <w:szCs w:val="28"/>
        </w:rPr>
        <w:t>ДАМДИНОВНА</w:t>
      </w:r>
    </w:p>
    <w:p w14:paraId="5E050A61" w14:textId="77777777" w:rsidR="00594DC2" w:rsidRPr="00594DC2" w:rsidRDefault="00594DC2" w:rsidP="00594DC2">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Студент 3-го курса, кафедра прикладной экономики</w:t>
      </w:r>
    </w:p>
    <w:p w14:paraId="026C084E" w14:textId="77777777" w:rsidR="00594DC2" w:rsidRPr="00594DC2" w:rsidRDefault="00594DC2" w:rsidP="00594DC2">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 xml:space="preserve">Бурятский государственный университет имени </w:t>
      </w:r>
      <w:proofErr w:type="spellStart"/>
      <w:r w:rsidRPr="00594DC2">
        <w:rPr>
          <w:rFonts w:ascii="Times New Roman" w:hAnsi="Times New Roman" w:cs="Times New Roman"/>
          <w:i/>
          <w:iCs/>
          <w:sz w:val="28"/>
          <w:szCs w:val="28"/>
        </w:rPr>
        <w:t>Доржи</w:t>
      </w:r>
      <w:proofErr w:type="spellEnd"/>
      <w:r w:rsidRPr="00594DC2">
        <w:rPr>
          <w:rFonts w:ascii="Times New Roman" w:hAnsi="Times New Roman" w:cs="Times New Roman"/>
          <w:i/>
          <w:iCs/>
          <w:sz w:val="28"/>
          <w:szCs w:val="28"/>
        </w:rPr>
        <w:t xml:space="preserve"> Банзарова</w:t>
      </w:r>
    </w:p>
    <w:p w14:paraId="05873C61" w14:textId="77777777" w:rsidR="00594DC2" w:rsidRPr="00594DC2" w:rsidRDefault="00594DC2" w:rsidP="00594DC2">
      <w:pPr>
        <w:spacing w:after="0" w:line="360" w:lineRule="auto"/>
        <w:ind w:firstLine="567"/>
        <w:jc w:val="right"/>
        <w:rPr>
          <w:rFonts w:ascii="Times New Roman" w:hAnsi="Times New Roman" w:cs="Times New Roman"/>
          <w:b/>
          <w:bCs/>
          <w:sz w:val="28"/>
          <w:szCs w:val="28"/>
          <w:lang w:val="en-US"/>
        </w:rPr>
      </w:pPr>
      <w:r w:rsidRPr="00594DC2">
        <w:rPr>
          <w:rFonts w:ascii="Times New Roman" w:hAnsi="Times New Roman" w:cs="Times New Roman"/>
          <w:b/>
          <w:bCs/>
          <w:sz w:val="28"/>
          <w:szCs w:val="28"/>
          <w:lang w:val="en-US"/>
        </w:rPr>
        <w:t>VAMPILOVA ARYUNA DAMDINOVNA</w:t>
      </w:r>
    </w:p>
    <w:p w14:paraId="302416E1" w14:textId="77777777" w:rsidR="00594DC2" w:rsidRPr="00594DC2" w:rsidRDefault="00594DC2" w:rsidP="00594DC2">
      <w:pPr>
        <w:spacing w:after="0" w:line="360" w:lineRule="auto"/>
        <w:ind w:firstLine="567"/>
        <w:jc w:val="right"/>
        <w:rPr>
          <w:rFonts w:ascii="Times New Roman" w:hAnsi="Times New Roman" w:cs="Times New Roman"/>
          <w:i/>
          <w:iCs/>
          <w:sz w:val="28"/>
          <w:szCs w:val="28"/>
          <w:lang w:val="en-US"/>
        </w:rPr>
      </w:pPr>
      <w:r w:rsidRPr="00594DC2">
        <w:rPr>
          <w:rFonts w:ascii="Times New Roman" w:hAnsi="Times New Roman" w:cs="Times New Roman"/>
          <w:i/>
          <w:iCs/>
          <w:sz w:val="28"/>
          <w:szCs w:val="28"/>
          <w:lang w:val="en-US"/>
        </w:rPr>
        <w:t>Student of the 3nd year, Department of Applied Economics</w:t>
      </w:r>
    </w:p>
    <w:p w14:paraId="6F9C7C52" w14:textId="56AF454F" w:rsidR="005414C6" w:rsidRDefault="005414C6" w:rsidP="00594DC2">
      <w:pPr>
        <w:spacing w:after="0" w:line="360" w:lineRule="auto"/>
        <w:ind w:firstLine="567"/>
        <w:jc w:val="right"/>
        <w:rPr>
          <w:rFonts w:ascii="Times New Roman" w:hAnsi="Times New Roman" w:cs="Times New Roman"/>
          <w:i/>
          <w:iCs/>
          <w:sz w:val="28"/>
          <w:szCs w:val="28"/>
        </w:rPr>
      </w:pPr>
      <w:proofErr w:type="spellStart"/>
      <w:r w:rsidRPr="005414C6">
        <w:rPr>
          <w:rFonts w:ascii="Times New Roman" w:hAnsi="Times New Roman" w:cs="Times New Roman"/>
          <w:i/>
          <w:iCs/>
          <w:sz w:val="28"/>
          <w:szCs w:val="28"/>
          <w:lang w:val="en-US"/>
        </w:rPr>
        <w:t>Banzarov</w:t>
      </w:r>
      <w:proofErr w:type="spellEnd"/>
      <w:r w:rsidRPr="005414C6">
        <w:rPr>
          <w:rFonts w:ascii="Times New Roman" w:hAnsi="Times New Roman" w:cs="Times New Roman"/>
          <w:i/>
          <w:iCs/>
          <w:sz w:val="28"/>
          <w:szCs w:val="28"/>
          <w:lang w:val="en-US"/>
        </w:rPr>
        <w:t xml:space="preserve"> </w:t>
      </w:r>
      <w:proofErr w:type="spellStart"/>
      <w:r w:rsidRPr="005414C6">
        <w:rPr>
          <w:rFonts w:ascii="Times New Roman" w:hAnsi="Times New Roman" w:cs="Times New Roman"/>
          <w:i/>
          <w:iCs/>
          <w:sz w:val="28"/>
          <w:szCs w:val="28"/>
          <w:lang w:val="en-US"/>
        </w:rPr>
        <w:t>Buryat</w:t>
      </w:r>
      <w:proofErr w:type="spellEnd"/>
      <w:r w:rsidRPr="005414C6">
        <w:rPr>
          <w:rFonts w:ascii="Times New Roman" w:hAnsi="Times New Roman" w:cs="Times New Roman"/>
          <w:i/>
          <w:iCs/>
          <w:sz w:val="28"/>
          <w:szCs w:val="28"/>
          <w:lang w:val="en-US"/>
        </w:rPr>
        <w:t xml:space="preserve"> State University</w:t>
      </w:r>
    </w:p>
    <w:p w14:paraId="1D02BFE4" w14:textId="18EB329A" w:rsidR="005414C6" w:rsidRPr="005414C6" w:rsidRDefault="005414C6" w:rsidP="00594DC2">
      <w:pPr>
        <w:spacing w:after="0" w:line="360" w:lineRule="auto"/>
        <w:ind w:firstLine="567"/>
        <w:jc w:val="right"/>
        <w:rPr>
          <w:rFonts w:ascii="Times New Roman" w:hAnsi="Times New Roman" w:cs="Times New Roman"/>
          <w:i/>
          <w:iCs/>
          <w:sz w:val="28"/>
          <w:szCs w:val="28"/>
        </w:rPr>
      </w:pPr>
      <w:r w:rsidRPr="005414C6">
        <w:rPr>
          <w:rFonts w:ascii="Times New Roman" w:hAnsi="Times New Roman" w:cs="Times New Roman"/>
          <w:i/>
          <w:iCs/>
          <w:sz w:val="28"/>
          <w:szCs w:val="28"/>
        </w:rPr>
        <w:t>Научный руководитель</w:t>
      </w:r>
    </w:p>
    <w:p w14:paraId="3D85C937" w14:textId="77777777" w:rsidR="00594DC2" w:rsidRDefault="00594DC2" w:rsidP="00594DC2">
      <w:pPr>
        <w:spacing w:after="0" w:line="360" w:lineRule="auto"/>
        <w:ind w:firstLine="567"/>
        <w:jc w:val="right"/>
        <w:rPr>
          <w:rFonts w:ascii="Times New Roman" w:hAnsi="Times New Roman" w:cs="Times New Roman"/>
          <w:b/>
          <w:bCs/>
          <w:sz w:val="28"/>
          <w:szCs w:val="28"/>
        </w:rPr>
      </w:pPr>
      <w:r w:rsidRPr="00594DC2">
        <w:rPr>
          <w:rFonts w:ascii="Times New Roman" w:hAnsi="Times New Roman" w:cs="Times New Roman"/>
          <w:b/>
          <w:bCs/>
          <w:sz w:val="28"/>
          <w:szCs w:val="28"/>
        </w:rPr>
        <w:t>БРЫКОВА</w:t>
      </w:r>
      <w:r w:rsidRPr="005414C6">
        <w:rPr>
          <w:rFonts w:ascii="Times New Roman" w:hAnsi="Times New Roman" w:cs="Times New Roman"/>
          <w:b/>
          <w:bCs/>
          <w:sz w:val="28"/>
          <w:szCs w:val="28"/>
          <w:lang w:val="en-US"/>
        </w:rPr>
        <w:t xml:space="preserve"> </w:t>
      </w:r>
      <w:r w:rsidRPr="00594DC2">
        <w:rPr>
          <w:rFonts w:ascii="Times New Roman" w:hAnsi="Times New Roman" w:cs="Times New Roman"/>
          <w:b/>
          <w:bCs/>
          <w:sz w:val="28"/>
          <w:szCs w:val="28"/>
        </w:rPr>
        <w:t>СВЕТЛАНА</w:t>
      </w:r>
      <w:r w:rsidRPr="005414C6">
        <w:rPr>
          <w:rFonts w:ascii="Times New Roman" w:hAnsi="Times New Roman" w:cs="Times New Roman"/>
          <w:b/>
          <w:bCs/>
          <w:sz w:val="28"/>
          <w:szCs w:val="28"/>
          <w:lang w:val="en-US"/>
        </w:rPr>
        <w:t xml:space="preserve"> </w:t>
      </w:r>
      <w:r w:rsidRPr="00594DC2">
        <w:rPr>
          <w:rFonts w:ascii="Times New Roman" w:hAnsi="Times New Roman" w:cs="Times New Roman"/>
          <w:b/>
          <w:bCs/>
          <w:sz w:val="28"/>
          <w:szCs w:val="28"/>
        </w:rPr>
        <w:t>СЕРГЕЕВНА</w:t>
      </w:r>
    </w:p>
    <w:p w14:paraId="1EDEF1F3" w14:textId="6A69FE3B" w:rsidR="005414C6" w:rsidRPr="005414C6" w:rsidRDefault="005414C6" w:rsidP="00594DC2">
      <w:pPr>
        <w:spacing w:after="0" w:line="360" w:lineRule="auto"/>
        <w:ind w:firstLine="567"/>
        <w:jc w:val="right"/>
        <w:rPr>
          <w:rFonts w:ascii="Times New Roman" w:hAnsi="Times New Roman" w:cs="Times New Roman"/>
          <w:bCs/>
          <w:sz w:val="28"/>
          <w:szCs w:val="28"/>
          <w:lang w:val="en-US"/>
        </w:rPr>
      </w:pPr>
      <w:r w:rsidRPr="005414C6">
        <w:rPr>
          <w:rFonts w:ascii="Times New Roman" w:hAnsi="Times New Roman" w:cs="Times New Roman"/>
          <w:bCs/>
          <w:sz w:val="28"/>
          <w:szCs w:val="28"/>
        </w:rPr>
        <w:t xml:space="preserve">Старший преподаватель </w:t>
      </w:r>
    </w:p>
    <w:p w14:paraId="1E44EF3D" w14:textId="77777777" w:rsidR="00594DC2" w:rsidRDefault="00594DC2" w:rsidP="00594DC2">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 xml:space="preserve">Бурятский государственный университет имени </w:t>
      </w:r>
      <w:proofErr w:type="spellStart"/>
      <w:r w:rsidRPr="00594DC2">
        <w:rPr>
          <w:rFonts w:ascii="Times New Roman" w:hAnsi="Times New Roman" w:cs="Times New Roman"/>
          <w:i/>
          <w:iCs/>
          <w:sz w:val="28"/>
          <w:szCs w:val="28"/>
        </w:rPr>
        <w:t>Доржи</w:t>
      </w:r>
      <w:proofErr w:type="spellEnd"/>
      <w:r w:rsidRPr="00594DC2">
        <w:rPr>
          <w:rFonts w:ascii="Times New Roman" w:hAnsi="Times New Roman" w:cs="Times New Roman"/>
          <w:i/>
          <w:iCs/>
          <w:sz w:val="28"/>
          <w:szCs w:val="28"/>
        </w:rPr>
        <w:t xml:space="preserve"> Банзарова</w:t>
      </w:r>
    </w:p>
    <w:p w14:paraId="4DC6B987" w14:textId="6C10E174" w:rsidR="005414C6" w:rsidRPr="00594DC2" w:rsidRDefault="005414C6" w:rsidP="00594DC2">
      <w:pPr>
        <w:spacing w:after="0" w:line="360" w:lineRule="auto"/>
        <w:ind w:firstLine="567"/>
        <w:jc w:val="right"/>
        <w:rPr>
          <w:rFonts w:ascii="Times New Roman" w:hAnsi="Times New Roman" w:cs="Times New Roman"/>
          <w:i/>
          <w:iCs/>
          <w:sz w:val="28"/>
          <w:szCs w:val="28"/>
        </w:rPr>
      </w:pPr>
      <w:proofErr w:type="spellStart"/>
      <w:r w:rsidRPr="005414C6">
        <w:rPr>
          <w:rFonts w:ascii="Times New Roman" w:hAnsi="Times New Roman" w:cs="Times New Roman"/>
          <w:i/>
          <w:iCs/>
          <w:sz w:val="28"/>
          <w:szCs w:val="28"/>
        </w:rPr>
        <w:t>Scientific</w:t>
      </w:r>
      <w:proofErr w:type="spellEnd"/>
      <w:r w:rsidRPr="005414C6">
        <w:rPr>
          <w:rFonts w:ascii="Times New Roman" w:hAnsi="Times New Roman" w:cs="Times New Roman"/>
          <w:i/>
          <w:iCs/>
          <w:sz w:val="28"/>
          <w:szCs w:val="28"/>
        </w:rPr>
        <w:t xml:space="preserve"> </w:t>
      </w:r>
      <w:proofErr w:type="spellStart"/>
      <w:r w:rsidRPr="005414C6">
        <w:rPr>
          <w:rFonts w:ascii="Times New Roman" w:hAnsi="Times New Roman" w:cs="Times New Roman"/>
          <w:i/>
          <w:iCs/>
          <w:sz w:val="28"/>
          <w:szCs w:val="28"/>
        </w:rPr>
        <w:t>supervisor</w:t>
      </w:r>
      <w:proofErr w:type="spellEnd"/>
    </w:p>
    <w:p w14:paraId="559ABA12" w14:textId="77777777" w:rsidR="00594DC2" w:rsidRDefault="00594DC2" w:rsidP="00594DC2">
      <w:pPr>
        <w:spacing w:after="0" w:line="360" w:lineRule="auto"/>
        <w:ind w:firstLine="567"/>
        <w:jc w:val="right"/>
        <w:rPr>
          <w:rFonts w:ascii="Times New Roman" w:hAnsi="Times New Roman" w:cs="Times New Roman"/>
          <w:b/>
          <w:bCs/>
          <w:sz w:val="28"/>
          <w:szCs w:val="28"/>
        </w:rPr>
      </w:pPr>
      <w:r w:rsidRPr="00594DC2">
        <w:rPr>
          <w:rFonts w:ascii="Times New Roman" w:hAnsi="Times New Roman" w:cs="Times New Roman"/>
          <w:b/>
          <w:bCs/>
          <w:sz w:val="28"/>
          <w:szCs w:val="28"/>
          <w:lang w:val="en-US"/>
        </w:rPr>
        <w:t>BRYKOVA SVETLANA SERGEEVNA</w:t>
      </w:r>
    </w:p>
    <w:p w14:paraId="5EA5FF0C" w14:textId="166E41CC" w:rsidR="005414C6" w:rsidRPr="005414C6" w:rsidRDefault="005414C6" w:rsidP="00594DC2">
      <w:pPr>
        <w:spacing w:after="0" w:line="360" w:lineRule="auto"/>
        <w:ind w:firstLine="567"/>
        <w:jc w:val="right"/>
        <w:rPr>
          <w:rFonts w:ascii="Times New Roman" w:hAnsi="Times New Roman" w:cs="Times New Roman"/>
          <w:bCs/>
          <w:i/>
          <w:sz w:val="28"/>
          <w:szCs w:val="28"/>
          <w:lang w:val="en-US"/>
        </w:rPr>
      </w:pPr>
      <w:r w:rsidRPr="005414C6">
        <w:rPr>
          <w:rFonts w:ascii="Times New Roman" w:hAnsi="Times New Roman" w:cs="Times New Roman"/>
          <w:bCs/>
          <w:i/>
          <w:sz w:val="28"/>
          <w:szCs w:val="28"/>
          <w:lang w:val="en-US"/>
        </w:rPr>
        <w:t>Senior lecturer</w:t>
      </w:r>
    </w:p>
    <w:p w14:paraId="77851354" w14:textId="16F27C6F" w:rsidR="00594DC2" w:rsidRDefault="005414C6" w:rsidP="00594DC2">
      <w:pPr>
        <w:spacing w:after="0" w:line="360" w:lineRule="auto"/>
        <w:ind w:firstLine="567"/>
        <w:jc w:val="right"/>
        <w:rPr>
          <w:rFonts w:ascii="Times New Roman" w:hAnsi="Times New Roman" w:cs="Times New Roman"/>
          <w:i/>
          <w:iCs/>
          <w:sz w:val="28"/>
          <w:szCs w:val="28"/>
        </w:rPr>
      </w:pPr>
      <w:proofErr w:type="spellStart"/>
      <w:r w:rsidRPr="005414C6">
        <w:rPr>
          <w:rFonts w:ascii="Times New Roman" w:hAnsi="Times New Roman" w:cs="Times New Roman"/>
          <w:i/>
          <w:iCs/>
          <w:sz w:val="28"/>
          <w:szCs w:val="28"/>
          <w:lang w:val="en-US"/>
        </w:rPr>
        <w:t>Banzarov</w:t>
      </w:r>
      <w:proofErr w:type="spellEnd"/>
      <w:r w:rsidRPr="005414C6">
        <w:rPr>
          <w:rFonts w:ascii="Times New Roman" w:hAnsi="Times New Roman" w:cs="Times New Roman"/>
          <w:i/>
          <w:iCs/>
          <w:sz w:val="28"/>
          <w:szCs w:val="28"/>
          <w:lang w:val="en-US"/>
        </w:rPr>
        <w:t xml:space="preserve"> </w:t>
      </w:r>
      <w:proofErr w:type="spellStart"/>
      <w:r w:rsidRPr="005414C6">
        <w:rPr>
          <w:rFonts w:ascii="Times New Roman" w:hAnsi="Times New Roman" w:cs="Times New Roman"/>
          <w:i/>
          <w:iCs/>
          <w:sz w:val="28"/>
          <w:szCs w:val="28"/>
          <w:lang w:val="en-US"/>
        </w:rPr>
        <w:t>Buryat</w:t>
      </w:r>
      <w:proofErr w:type="spellEnd"/>
      <w:r w:rsidRPr="005414C6">
        <w:rPr>
          <w:rFonts w:ascii="Times New Roman" w:hAnsi="Times New Roman" w:cs="Times New Roman"/>
          <w:i/>
          <w:iCs/>
          <w:sz w:val="28"/>
          <w:szCs w:val="28"/>
          <w:lang w:val="en-US"/>
        </w:rPr>
        <w:t xml:space="preserve"> State University</w:t>
      </w:r>
    </w:p>
    <w:p w14:paraId="765D3CD5" w14:textId="77777777" w:rsidR="005B0953" w:rsidRPr="005B0953" w:rsidRDefault="005B0953" w:rsidP="00594DC2">
      <w:pPr>
        <w:spacing w:after="0" w:line="360" w:lineRule="auto"/>
        <w:ind w:firstLine="567"/>
        <w:jc w:val="right"/>
        <w:rPr>
          <w:rFonts w:ascii="Times New Roman" w:hAnsi="Times New Roman" w:cs="Times New Roman"/>
          <w:i/>
          <w:iCs/>
          <w:sz w:val="28"/>
          <w:szCs w:val="28"/>
        </w:rPr>
      </w:pPr>
    </w:p>
    <w:p w14:paraId="4743728E" w14:textId="36966AAF" w:rsidR="00594DC2" w:rsidRPr="00594DC2" w:rsidRDefault="00594DC2" w:rsidP="00594DC2">
      <w:pPr>
        <w:spacing w:after="0" w:line="360" w:lineRule="auto"/>
        <w:ind w:firstLine="567"/>
        <w:jc w:val="both"/>
        <w:rPr>
          <w:rFonts w:ascii="Times New Roman" w:hAnsi="Times New Roman" w:cs="Times New Roman"/>
          <w:i/>
          <w:iCs/>
          <w:sz w:val="28"/>
          <w:szCs w:val="28"/>
        </w:rPr>
      </w:pPr>
      <w:r w:rsidRPr="00594DC2">
        <w:rPr>
          <w:rFonts w:ascii="Times New Roman" w:hAnsi="Times New Roman" w:cs="Times New Roman"/>
          <w:i/>
          <w:iCs/>
          <w:sz w:val="28"/>
          <w:szCs w:val="28"/>
        </w:rPr>
        <w:t>Аннотация</w:t>
      </w:r>
      <w:r w:rsidRPr="005414C6">
        <w:rPr>
          <w:rFonts w:ascii="Times New Roman" w:hAnsi="Times New Roman" w:cs="Times New Roman"/>
          <w:i/>
          <w:iCs/>
          <w:sz w:val="28"/>
          <w:szCs w:val="28"/>
          <w:lang w:val="en-US"/>
        </w:rPr>
        <w:t>.</w:t>
      </w:r>
      <w:r w:rsidR="009513DA" w:rsidRPr="005414C6">
        <w:rPr>
          <w:rFonts w:ascii="Times New Roman" w:hAnsi="Times New Roman" w:cs="Times New Roman"/>
          <w:i/>
          <w:iCs/>
          <w:sz w:val="28"/>
          <w:szCs w:val="28"/>
          <w:lang w:val="en-US"/>
        </w:rPr>
        <w:t xml:space="preserve"> </w:t>
      </w:r>
      <w:r w:rsidR="009513DA">
        <w:rPr>
          <w:rFonts w:ascii="Times New Roman" w:hAnsi="Times New Roman" w:cs="Times New Roman"/>
          <w:i/>
          <w:iCs/>
          <w:sz w:val="28"/>
          <w:szCs w:val="28"/>
        </w:rPr>
        <w:t>Цифровизация в банковской сфере стала ключевым направлением развития финансовых организаций, определяя новые стандарты качества обслуживания и эффективности внутренних процессов. Внедрение цифровых платформ, мобильных сервисов, биометрических технологий обеспечивает банкам возможность ускорять операционные процедуры, расширять спектр услуг и повышать уровень безопасности.</w:t>
      </w:r>
      <w:r w:rsidRPr="00594DC2">
        <w:rPr>
          <w:rFonts w:ascii="Times New Roman" w:hAnsi="Times New Roman" w:cs="Times New Roman"/>
          <w:i/>
          <w:iCs/>
          <w:sz w:val="28"/>
          <w:szCs w:val="28"/>
        </w:rPr>
        <w:t xml:space="preserve"> </w:t>
      </w:r>
    </w:p>
    <w:p w14:paraId="018E80F0" w14:textId="2CADB5A2" w:rsidR="00594DC2" w:rsidRPr="00594DC2" w:rsidRDefault="00594DC2" w:rsidP="00594DC2">
      <w:pPr>
        <w:spacing w:after="0" w:line="360" w:lineRule="auto"/>
        <w:ind w:firstLine="567"/>
        <w:jc w:val="both"/>
        <w:rPr>
          <w:rFonts w:ascii="Times New Roman" w:hAnsi="Times New Roman" w:cs="Times New Roman"/>
          <w:i/>
          <w:iCs/>
          <w:sz w:val="28"/>
          <w:szCs w:val="28"/>
          <w:lang w:val="en-US"/>
        </w:rPr>
      </w:pPr>
      <w:r w:rsidRPr="00594DC2">
        <w:rPr>
          <w:rFonts w:ascii="Times New Roman" w:hAnsi="Times New Roman" w:cs="Times New Roman"/>
          <w:i/>
          <w:iCs/>
          <w:sz w:val="28"/>
          <w:szCs w:val="28"/>
          <w:lang w:val="en-US"/>
        </w:rPr>
        <w:t>Abstract</w:t>
      </w:r>
      <w:r w:rsidRPr="005414C6">
        <w:rPr>
          <w:rFonts w:ascii="Times New Roman" w:hAnsi="Times New Roman" w:cs="Times New Roman"/>
          <w:i/>
          <w:iCs/>
          <w:sz w:val="28"/>
          <w:szCs w:val="28"/>
          <w:lang w:val="en-US"/>
        </w:rPr>
        <w:t xml:space="preserve">. </w:t>
      </w:r>
      <w:r w:rsidR="00BC4E13" w:rsidRPr="00BC4E13">
        <w:rPr>
          <w:rFonts w:ascii="Times New Roman" w:hAnsi="Times New Roman" w:cs="Times New Roman"/>
          <w:i/>
          <w:iCs/>
          <w:sz w:val="28"/>
          <w:szCs w:val="28"/>
          <w:lang w:val="en-US"/>
        </w:rPr>
        <w:t>Digitali</w:t>
      </w:r>
      <w:r w:rsidR="00BC4E13">
        <w:rPr>
          <w:rFonts w:ascii="Times New Roman" w:hAnsi="Times New Roman" w:cs="Times New Roman"/>
          <w:i/>
          <w:iCs/>
          <w:sz w:val="28"/>
          <w:szCs w:val="28"/>
          <w:lang w:val="en-US"/>
        </w:rPr>
        <w:t>z</w:t>
      </w:r>
      <w:r w:rsidR="00BC4E13" w:rsidRPr="00BC4E13">
        <w:rPr>
          <w:rFonts w:ascii="Times New Roman" w:hAnsi="Times New Roman" w:cs="Times New Roman"/>
          <w:i/>
          <w:iCs/>
          <w:sz w:val="28"/>
          <w:szCs w:val="28"/>
          <w:lang w:val="en-US"/>
        </w:rPr>
        <w:t>ation in the banking sector has become a key area of development for financial institutions, setting new standards for service quality and efficiency. The introduction of digital platforms, mobile services, and biometric technologies enables banks to accelerate operational procedures, expand their service offerings, and enhance security measures.</w:t>
      </w:r>
    </w:p>
    <w:p w14:paraId="52F53860" w14:textId="47B19406" w:rsidR="00594DC2" w:rsidRPr="00594DC2" w:rsidRDefault="00594DC2" w:rsidP="00594DC2">
      <w:pPr>
        <w:spacing w:after="0" w:line="360" w:lineRule="auto"/>
        <w:ind w:firstLine="567"/>
        <w:jc w:val="both"/>
        <w:rPr>
          <w:rFonts w:ascii="Times New Roman" w:hAnsi="Times New Roman" w:cs="Times New Roman"/>
          <w:b/>
          <w:bCs/>
          <w:i/>
          <w:iCs/>
          <w:sz w:val="28"/>
          <w:szCs w:val="28"/>
        </w:rPr>
      </w:pPr>
      <w:r w:rsidRPr="00594DC2">
        <w:rPr>
          <w:rFonts w:ascii="Times New Roman" w:hAnsi="Times New Roman" w:cs="Times New Roman"/>
          <w:b/>
          <w:bCs/>
          <w:i/>
          <w:iCs/>
          <w:sz w:val="28"/>
          <w:szCs w:val="28"/>
        </w:rPr>
        <w:t xml:space="preserve">Ключевые слова: </w:t>
      </w:r>
      <w:r w:rsidR="00BC4E13" w:rsidRPr="00BC4E13">
        <w:rPr>
          <w:rFonts w:ascii="Times New Roman" w:hAnsi="Times New Roman" w:cs="Times New Roman"/>
          <w:i/>
          <w:iCs/>
          <w:sz w:val="28"/>
          <w:szCs w:val="28"/>
        </w:rPr>
        <w:t>цифровизация, банковская сфера, Банк России</w:t>
      </w:r>
    </w:p>
    <w:p w14:paraId="248095C4" w14:textId="4D9B43B0" w:rsidR="00594DC2" w:rsidRPr="00594DC2" w:rsidRDefault="00594DC2" w:rsidP="00594DC2">
      <w:pPr>
        <w:spacing w:after="0" w:line="360" w:lineRule="auto"/>
        <w:ind w:firstLine="567"/>
        <w:jc w:val="both"/>
        <w:rPr>
          <w:rFonts w:ascii="Times New Roman" w:hAnsi="Times New Roman" w:cs="Times New Roman"/>
          <w:b/>
          <w:bCs/>
          <w:i/>
          <w:iCs/>
          <w:sz w:val="28"/>
          <w:szCs w:val="28"/>
          <w:lang w:val="en-US"/>
        </w:rPr>
      </w:pPr>
      <w:r w:rsidRPr="00594DC2">
        <w:rPr>
          <w:rFonts w:ascii="Times New Roman" w:hAnsi="Times New Roman" w:cs="Times New Roman"/>
          <w:b/>
          <w:bCs/>
          <w:i/>
          <w:iCs/>
          <w:sz w:val="28"/>
          <w:szCs w:val="28"/>
          <w:lang w:val="en-US"/>
        </w:rPr>
        <w:lastRenderedPageBreak/>
        <w:t xml:space="preserve">Key words: </w:t>
      </w:r>
      <w:r w:rsidR="00BC4E13" w:rsidRPr="00BC4E13">
        <w:rPr>
          <w:rFonts w:ascii="Times New Roman" w:hAnsi="Times New Roman" w:cs="Times New Roman"/>
          <w:i/>
          <w:iCs/>
          <w:sz w:val="28"/>
          <w:szCs w:val="28"/>
          <w:lang w:val="en-US"/>
        </w:rPr>
        <w:t>digitalization, banking, Bank of Russia</w:t>
      </w:r>
    </w:p>
    <w:p w14:paraId="5B556329" w14:textId="77777777" w:rsidR="000A0896" w:rsidRPr="00BC4E13" w:rsidRDefault="000A0896" w:rsidP="000A0896">
      <w:pPr>
        <w:spacing w:after="0" w:line="360" w:lineRule="auto"/>
        <w:ind w:firstLine="567"/>
        <w:jc w:val="both"/>
        <w:rPr>
          <w:rFonts w:ascii="Times New Roman" w:hAnsi="Times New Roman" w:cs="Times New Roman"/>
          <w:sz w:val="28"/>
          <w:szCs w:val="28"/>
          <w:lang w:val="en-US"/>
        </w:rPr>
      </w:pPr>
    </w:p>
    <w:p w14:paraId="020C6E02" w14:textId="30462E6A" w:rsidR="00594DC2" w:rsidRPr="00594DC2" w:rsidRDefault="009513DA" w:rsidP="000A089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Цифровизация банковской сферы в последние годы стала одним из наиболее заметных и масштабных процессов, формирующих финансовую экосистему. Переход к цифровым моделям обслуживания обусловлен потребностями клиентов, стремящихся к максимальной мобильности, внутренними задачами банков, связанными с оптимизацией процессов, снижением затрат и повышением устойчивости к рискам. Электронные платформы позволяют автоматизировать значительную часть операций, сократить человеческий фактор и улучшить качество решений за счет аналитики данных.</w:t>
      </w:r>
    </w:p>
    <w:p w14:paraId="1B61375F" w14:textId="7359E93B" w:rsidR="00C13693" w:rsidRPr="000A0896" w:rsidRDefault="000A0896" w:rsidP="000A089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Цифровая трансформация в банковской сфере приобрела устойчивый и дифференцированный характер. На первом место остаются решения, ориентированные на клиентский опыт и операционную эффективность, такие как, мобильные интерфейсы, корпоративные системы хранения данных и облачные технологии уже интегрированы в повседневную практику большинства банков. (Рис 1.)</w:t>
      </w:r>
    </w:p>
    <w:p w14:paraId="41679D74" w14:textId="7ED09931" w:rsidR="00C13693" w:rsidRDefault="00A34662" w:rsidP="000A4BA3">
      <w:pPr>
        <w:spacing w:after="0" w:line="360" w:lineRule="auto"/>
        <w:jc w:val="both"/>
      </w:pPr>
      <w:r>
        <w:rPr>
          <w:noProof/>
          <w:lang w:eastAsia="ru-RU"/>
        </w:rPr>
        <w:drawing>
          <wp:inline distT="0" distB="0" distL="0" distR="0" wp14:anchorId="2391EE81" wp14:editId="09204F7A">
            <wp:extent cx="6112933" cy="4013200"/>
            <wp:effectExtent l="0" t="0" r="2540" b="6350"/>
            <wp:docPr id="60054192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D68E664" w14:textId="5E98B266" w:rsidR="00E03D31" w:rsidRPr="004B31DC" w:rsidRDefault="00E03D31" w:rsidP="004B31DC">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lastRenderedPageBreak/>
        <w:t>Рис</w:t>
      </w:r>
      <w:r w:rsidR="004B31DC">
        <w:rPr>
          <w:rFonts w:ascii="Times New Roman" w:hAnsi="Times New Roman" w:cs="Times New Roman"/>
          <w:sz w:val="28"/>
          <w:szCs w:val="28"/>
        </w:rPr>
        <w:t>.</w:t>
      </w:r>
      <w:r>
        <w:rPr>
          <w:rFonts w:ascii="Times New Roman" w:hAnsi="Times New Roman" w:cs="Times New Roman"/>
          <w:sz w:val="28"/>
          <w:szCs w:val="28"/>
        </w:rPr>
        <w:t xml:space="preserve"> 1. Уровень использования технологий банков во всех сегментах</w:t>
      </w:r>
      <w:r w:rsidR="0069378D">
        <w:rPr>
          <w:rFonts w:ascii="Times New Roman" w:hAnsi="Times New Roman" w:cs="Times New Roman"/>
          <w:sz w:val="28"/>
          <w:szCs w:val="28"/>
        </w:rPr>
        <w:t>, %</w:t>
      </w:r>
      <w:r w:rsidR="004B31DC">
        <w:rPr>
          <w:rFonts w:ascii="Times New Roman" w:hAnsi="Times New Roman" w:cs="Times New Roman"/>
          <w:sz w:val="28"/>
          <w:szCs w:val="28"/>
        </w:rPr>
        <w:t xml:space="preserve"> </w:t>
      </w:r>
      <w:r w:rsidR="004B31DC" w:rsidRPr="004B31DC">
        <w:rPr>
          <w:rFonts w:ascii="Times New Roman" w:hAnsi="Times New Roman" w:cs="Times New Roman"/>
          <w:sz w:val="28"/>
          <w:szCs w:val="28"/>
        </w:rPr>
        <w:t>[</w:t>
      </w:r>
      <w:r w:rsidR="00BC4E13">
        <w:rPr>
          <w:rFonts w:ascii="Times New Roman" w:hAnsi="Times New Roman" w:cs="Times New Roman"/>
          <w:sz w:val="28"/>
          <w:szCs w:val="28"/>
        </w:rPr>
        <w:fldChar w:fldCharType="begin"/>
      </w:r>
      <w:r w:rsidR="00BC4E13">
        <w:rPr>
          <w:rFonts w:ascii="Times New Roman" w:hAnsi="Times New Roman" w:cs="Times New Roman"/>
          <w:sz w:val="28"/>
          <w:szCs w:val="28"/>
        </w:rPr>
        <w:instrText xml:space="preserve"> REF _Ref214657217 \r \h </w:instrText>
      </w:r>
      <w:r w:rsidR="00BC4E13">
        <w:rPr>
          <w:rFonts w:ascii="Times New Roman" w:hAnsi="Times New Roman" w:cs="Times New Roman"/>
          <w:sz w:val="28"/>
          <w:szCs w:val="28"/>
        </w:rPr>
      </w:r>
      <w:r w:rsidR="00BC4E13">
        <w:rPr>
          <w:rFonts w:ascii="Times New Roman" w:hAnsi="Times New Roman" w:cs="Times New Roman"/>
          <w:sz w:val="28"/>
          <w:szCs w:val="28"/>
        </w:rPr>
        <w:fldChar w:fldCharType="separate"/>
      </w:r>
      <w:r w:rsidR="00BC4E13">
        <w:rPr>
          <w:rFonts w:ascii="Times New Roman" w:hAnsi="Times New Roman" w:cs="Times New Roman"/>
          <w:sz w:val="28"/>
          <w:szCs w:val="28"/>
        </w:rPr>
        <w:t>3</w:t>
      </w:r>
      <w:r w:rsidR="00BC4E13">
        <w:rPr>
          <w:rFonts w:ascii="Times New Roman" w:hAnsi="Times New Roman" w:cs="Times New Roman"/>
          <w:sz w:val="28"/>
          <w:szCs w:val="28"/>
        </w:rPr>
        <w:fldChar w:fldCharType="end"/>
      </w:r>
      <w:r w:rsidR="004B31DC" w:rsidRPr="004B31DC">
        <w:rPr>
          <w:rFonts w:ascii="Times New Roman" w:hAnsi="Times New Roman" w:cs="Times New Roman"/>
          <w:sz w:val="28"/>
          <w:szCs w:val="28"/>
        </w:rPr>
        <w:t>]</w:t>
      </w:r>
    </w:p>
    <w:p w14:paraId="41985DDF" w14:textId="477D8F6A" w:rsidR="000A0896" w:rsidRDefault="000A0896"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Отметим, что перспективные направления квантовых вычислений, расширенной реальности и блокчейн остаются в стадии экспериментов или пилотных проектов. Низкий уровень массового внедрения в банковскую сферу объясняется высокой сложностью, недостаточной проработкой и необходимостью значительных инвестиций. </w:t>
      </w:r>
    </w:p>
    <w:p w14:paraId="3C222BF2" w14:textId="13F68506" w:rsidR="000A0896" w:rsidRDefault="000A0896"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Для развития банков в цифровизации определены приоритеты. (Рис 2.)</w:t>
      </w:r>
    </w:p>
    <w:p w14:paraId="3E5F8AA8" w14:textId="6248C7C7" w:rsidR="00E03D31" w:rsidRDefault="00500732" w:rsidP="000A4BA3">
      <w:pPr>
        <w:spacing w:after="0" w:line="360" w:lineRule="auto"/>
        <w:jc w:val="both"/>
        <w:rPr>
          <w:rFonts w:ascii="Times New Roman" w:hAnsi="Times New Roman" w:cs="Times New Roman"/>
          <w:sz w:val="28"/>
          <w:szCs w:val="28"/>
        </w:rPr>
      </w:pPr>
      <w:r>
        <w:rPr>
          <w:noProof/>
          <w:lang w:eastAsia="ru-RU"/>
        </w:rPr>
        <w:drawing>
          <wp:inline distT="0" distB="0" distL="0" distR="0" wp14:anchorId="1D250692" wp14:editId="5D7ABDA2">
            <wp:extent cx="6087533" cy="4368800"/>
            <wp:effectExtent l="0" t="0" r="8890" b="12700"/>
            <wp:docPr id="1878603686"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5673A8A" w14:textId="25705998" w:rsidR="000A4BA3" w:rsidRPr="005414C6" w:rsidRDefault="000A4BA3" w:rsidP="00BC4E13">
      <w:pPr>
        <w:spacing w:after="0" w:line="360" w:lineRule="auto"/>
        <w:ind w:firstLine="567"/>
        <w:jc w:val="center"/>
        <w:rPr>
          <w:rFonts w:ascii="Times New Roman" w:hAnsi="Times New Roman" w:cs="Times New Roman"/>
          <w:sz w:val="28"/>
          <w:szCs w:val="28"/>
        </w:rPr>
      </w:pPr>
      <w:r>
        <w:rPr>
          <w:rFonts w:ascii="Times New Roman" w:hAnsi="Times New Roman" w:cs="Times New Roman"/>
          <w:sz w:val="28"/>
          <w:szCs w:val="28"/>
        </w:rPr>
        <w:t>Рис</w:t>
      </w:r>
      <w:r w:rsidR="00BC4E13" w:rsidRPr="00BC4E13">
        <w:rPr>
          <w:rFonts w:ascii="Times New Roman" w:hAnsi="Times New Roman" w:cs="Times New Roman"/>
          <w:sz w:val="28"/>
          <w:szCs w:val="28"/>
        </w:rPr>
        <w:t>.</w:t>
      </w:r>
      <w:r>
        <w:rPr>
          <w:rFonts w:ascii="Times New Roman" w:hAnsi="Times New Roman" w:cs="Times New Roman"/>
          <w:sz w:val="28"/>
          <w:szCs w:val="28"/>
        </w:rPr>
        <w:t xml:space="preserve"> 2. Приоритеты для развития банков</w:t>
      </w:r>
      <w:r w:rsidR="0069378D">
        <w:rPr>
          <w:rFonts w:ascii="Times New Roman" w:hAnsi="Times New Roman" w:cs="Times New Roman"/>
          <w:sz w:val="28"/>
          <w:szCs w:val="28"/>
        </w:rPr>
        <w:t>, %</w:t>
      </w:r>
      <w:r w:rsidR="00BC4E13" w:rsidRPr="005414C6">
        <w:rPr>
          <w:rFonts w:ascii="Times New Roman" w:hAnsi="Times New Roman" w:cs="Times New Roman"/>
          <w:sz w:val="28"/>
          <w:szCs w:val="28"/>
        </w:rPr>
        <w:t xml:space="preserve"> [</w:t>
      </w:r>
      <w:r w:rsidR="00BC4E13">
        <w:rPr>
          <w:rFonts w:ascii="Times New Roman" w:hAnsi="Times New Roman" w:cs="Times New Roman"/>
          <w:sz w:val="28"/>
          <w:szCs w:val="28"/>
          <w:lang w:val="en-US"/>
        </w:rPr>
        <w:fldChar w:fldCharType="begin"/>
      </w:r>
      <w:r w:rsidR="00BC4E13" w:rsidRPr="005414C6">
        <w:rPr>
          <w:rFonts w:ascii="Times New Roman" w:hAnsi="Times New Roman" w:cs="Times New Roman"/>
          <w:sz w:val="28"/>
          <w:szCs w:val="28"/>
        </w:rPr>
        <w:instrText xml:space="preserve"> </w:instrText>
      </w:r>
      <w:r w:rsidR="00BC4E13">
        <w:rPr>
          <w:rFonts w:ascii="Times New Roman" w:hAnsi="Times New Roman" w:cs="Times New Roman"/>
          <w:sz w:val="28"/>
          <w:szCs w:val="28"/>
          <w:lang w:val="en-US"/>
        </w:rPr>
        <w:instrText>REF</w:instrText>
      </w:r>
      <w:r w:rsidR="00BC4E13" w:rsidRPr="005414C6">
        <w:rPr>
          <w:rFonts w:ascii="Times New Roman" w:hAnsi="Times New Roman" w:cs="Times New Roman"/>
          <w:sz w:val="28"/>
          <w:szCs w:val="28"/>
        </w:rPr>
        <w:instrText xml:space="preserve"> _</w:instrText>
      </w:r>
      <w:r w:rsidR="00BC4E13">
        <w:rPr>
          <w:rFonts w:ascii="Times New Roman" w:hAnsi="Times New Roman" w:cs="Times New Roman"/>
          <w:sz w:val="28"/>
          <w:szCs w:val="28"/>
          <w:lang w:val="en-US"/>
        </w:rPr>
        <w:instrText>Ref</w:instrText>
      </w:r>
      <w:r w:rsidR="00BC4E13" w:rsidRPr="005414C6">
        <w:rPr>
          <w:rFonts w:ascii="Times New Roman" w:hAnsi="Times New Roman" w:cs="Times New Roman"/>
          <w:sz w:val="28"/>
          <w:szCs w:val="28"/>
        </w:rPr>
        <w:instrText>214657217 \</w:instrText>
      </w:r>
      <w:r w:rsidR="00BC4E13">
        <w:rPr>
          <w:rFonts w:ascii="Times New Roman" w:hAnsi="Times New Roman" w:cs="Times New Roman"/>
          <w:sz w:val="28"/>
          <w:szCs w:val="28"/>
          <w:lang w:val="en-US"/>
        </w:rPr>
        <w:instrText>r</w:instrText>
      </w:r>
      <w:r w:rsidR="00BC4E13" w:rsidRPr="005414C6">
        <w:rPr>
          <w:rFonts w:ascii="Times New Roman" w:hAnsi="Times New Roman" w:cs="Times New Roman"/>
          <w:sz w:val="28"/>
          <w:szCs w:val="28"/>
        </w:rPr>
        <w:instrText xml:space="preserve"> \</w:instrText>
      </w:r>
      <w:r w:rsidR="00BC4E13">
        <w:rPr>
          <w:rFonts w:ascii="Times New Roman" w:hAnsi="Times New Roman" w:cs="Times New Roman"/>
          <w:sz w:val="28"/>
          <w:szCs w:val="28"/>
          <w:lang w:val="en-US"/>
        </w:rPr>
        <w:instrText>h</w:instrText>
      </w:r>
      <w:r w:rsidR="00BC4E13" w:rsidRPr="005414C6">
        <w:rPr>
          <w:rFonts w:ascii="Times New Roman" w:hAnsi="Times New Roman" w:cs="Times New Roman"/>
          <w:sz w:val="28"/>
          <w:szCs w:val="28"/>
        </w:rPr>
        <w:instrText xml:space="preserve">  \* </w:instrText>
      </w:r>
      <w:r w:rsidR="00BC4E13">
        <w:rPr>
          <w:rFonts w:ascii="Times New Roman" w:hAnsi="Times New Roman" w:cs="Times New Roman"/>
          <w:sz w:val="28"/>
          <w:szCs w:val="28"/>
          <w:lang w:val="en-US"/>
        </w:rPr>
        <w:instrText>MERGEFORMAT</w:instrText>
      </w:r>
      <w:r w:rsidR="00BC4E13" w:rsidRPr="005414C6">
        <w:rPr>
          <w:rFonts w:ascii="Times New Roman" w:hAnsi="Times New Roman" w:cs="Times New Roman"/>
          <w:sz w:val="28"/>
          <w:szCs w:val="28"/>
        </w:rPr>
        <w:instrText xml:space="preserve"> </w:instrText>
      </w:r>
      <w:r w:rsidR="00BC4E13">
        <w:rPr>
          <w:rFonts w:ascii="Times New Roman" w:hAnsi="Times New Roman" w:cs="Times New Roman"/>
          <w:sz w:val="28"/>
          <w:szCs w:val="28"/>
          <w:lang w:val="en-US"/>
        </w:rPr>
      </w:r>
      <w:r w:rsidR="00BC4E13">
        <w:rPr>
          <w:rFonts w:ascii="Times New Roman" w:hAnsi="Times New Roman" w:cs="Times New Roman"/>
          <w:sz w:val="28"/>
          <w:szCs w:val="28"/>
          <w:lang w:val="en-US"/>
        </w:rPr>
        <w:fldChar w:fldCharType="separate"/>
      </w:r>
      <w:r w:rsidR="00BC4E13" w:rsidRPr="005414C6">
        <w:rPr>
          <w:rFonts w:ascii="Times New Roman" w:hAnsi="Times New Roman" w:cs="Times New Roman"/>
          <w:sz w:val="28"/>
          <w:szCs w:val="28"/>
        </w:rPr>
        <w:t>3</w:t>
      </w:r>
      <w:r w:rsidR="00BC4E13">
        <w:rPr>
          <w:rFonts w:ascii="Times New Roman" w:hAnsi="Times New Roman" w:cs="Times New Roman"/>
          <w:sz w:val="28"/>
          <w:szCs w:val="28"/>
          <w:lang w:val="en-US"/>
        </w:rPr>
        <w:fldChar w:fldCharType="end"/>
      </w:r>
      <w:r w:rsidR="00BC4E13" w:rsidRPr="005414C6">
        <w:rPr>
          <w:rFonts w:ascii="Times New Roman" w:hAnsi="Times New Roman" w:cs="Times New Roman"/>
          <w:sz w:val="28"/>
          <w:szCs w:val="28"/>
        </w:rPr>
        <w:t>]</w:t>
      </w:r>
    </w:p>
    <w:p w14:paraId="5CFC4675" w14:textId="36E2BC29" w:rsidR="00B82360" w:rsidRDefault="00B82360"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Наиболее значимым для развития банков стоит формирование безопасного рынка. Этот приоритет отражает реакцию банков на резкий рост кибератак, мошенничества и утечек данных в условиях массового перехода к онлайн-сервисам. Банки осознают, что доверие </w:t>
      </w:r>
      <w:r w:rsidR="00771B44">
        <w:rPr>
          <w:rFonts w:ascii="Times New Roman" w:hAnsi="Times New Roman" w:cs="Times New Roman"/>
          <w:sz w:val="28"/>
          <w:szCs w:val="28"/>
        </w:rPr>
        <w:t>клиентов и</w:t>
      </w:r>
      <w:r>
        <w:rPr>
          <w:rFonts w:ascii="Times New Roman" w:hAnsi="Times New Roman" w:cs="Times New Roman"/>
          <w:sz w:val="28"/>
          <w:szCs w:val="28"/>
        </w:rPr>
        <w:t xml:space="preserve"> устойчивость бизнеса напрямую зависят от способности противостоять цифровым угрозам, что делает кибербезопасность стратегической задачей. </w:t>
      </w:r>
      <w:r w:rsidR="00771B44">
        <w:rPr>
          <w:rFonts w:ascii="Times New Roman" w:hAnsi="Times New Roman" w:cs="Times New Roman"/>
          <w:sz w:val="28"/>
          <w:szCs w:val="28"/>
        </w:rPr>
        <w:t xml:space="preserve">Ключевой проблемой является отсутствие централизованной системы обмена данными </w:t>
      </w:r>
      <w:proofErr w:type="gramStart"/>
      <w:r w:rsidR="00771B44">
        <w:rPr>
          <w:rFonts w:ascii="Times New Roman" w:hAnsi="Times New Roman" w:cs="Times New Roman"/>
          <w:sz w:val="28"/>
          <w:szCs w:val="28"/>
        </w:rPr>
        <w:t>о</w:t>
      </w:r>
      <w:proofErr w:type="gramEnd"/>
      <w:r w:rsidR="00771B44">
        <w:rPr>
          <w:rFonts w:ascii="Times New Roman" w:hAnsi="Times New Roman" w:cs="Times New Roman"/>
          <w:sz w:val="28"/>
          <w:szCs w:val="28"/>
        </w:rPr>
        <w:t xml:space="preserve"> мошеннических схем. </w:t>
      </w:r>
    </w:p>
    <w:p w14:paraId="397736F6" w14:textId="22EC5BCA" w:rsidR="00B82360" w:rsidRDefault="00B82360"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Критически важным является развитие среды для финтех инноваций. Банки перестают рассматривать себя исключительно как кредитные организации, а позиционируют как участников технологической экосистемы. </w:t>
      </w:r>
    </w:p>
    <w:p w14:paraId="4798313F" w14:textId="62FD6D12" w:rsidR="00771B44" w:rsidRDefault="00771B44"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Одним из критически важных приоритетов для развития банков стали механизмы доступа к данным. Ключевую роль здесь играет создание единых систем доступа к информации, объединяющие сведения из государственных реестров, о</w:t>
      </w:r>
      <w:r w:rsidR="0069378D">
        <w:rPr>
          <w:rFonts w:ascii="Times New Roman" w:hAnsi="Times New Roman" w:cs="Times New Roman"/>
          <w:sz w:val="28"/>
          <w:szCs w:val="28"/>
        </w:rPr>
        <w:t xml:space="preserve">ткрытых и частных источников. Однако дисбаланс между высокой значимостью этого направления и относительно низким уровнем реализации (20% указали на его актуальность) указывает на сложности с регулирование и технологической готовностью. </w:t>
      </w:r>
    </w:p>
    <w:p w14:paraId="6441C8CE" w14:textId="4840DE58" w:rsidR="0069378D" w:rsidRPr="00E03D31" w:rsidRDefault="0069378D" w:rsidP="004C6D8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Рассмотрим исследование цифровой зрелости топ-10 банков в 2024 году.</w:t>
      </w:r>
    </w:p>
    <w:p w14:paraId="7EC5EFA3" w14:textId="787641C9" w:rsidR="00BC4E13" w:rsidRPr="00BC4E13" w:rsidRDefault="00BC4E13" w:rsidP="00BC4E13">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w:t>
      </w:r>
    </w:p>
    <w:p w14:paraId="5D24A70D" w14:textId="227E12FB" w:rsidR="000E3119" w:rsidRPr="00BC4E13" w:rsidRDefault="000E3119" w:rsidP="004C6D8B">
      <w:pPr>
        <w:spacing w:after="0" w:line="360" w:lineRule="auto"/>
        <w:ind w:firstLine="567"/>
        <w:jc w:val="both"/>
        <w:rPr>
          <w:rFonts w:ascii="Times New Roman" w:hAnsi="Times New Roman" w:cs="Times New Roman"/>
          <w:sz w:val="28"/>
          <w:szCs w:val="28"/>
        </w:rPr>
      </w:pPr>
      <w:r w:rsidRPr="007F0E5A">
        <w:rPr>
          <w:rFonts w:ascii="Times New Roman" w:hAnsi="Times New Roman" w:cs="Times New Roman"/>
          <w:sz w:val="28"/>
          <w:szCs w:val="28"/>
        </w:rPr>
        <w:t xml:space="preserve">Исследование цифровой зрелости розничных банков в 2024 году </w:t>
      </w:r>
      <w:r w:rsidR="00BC4E13" w:rsidRPr="00BC4E13">
        <w:rPr>
          <w:rFonts w:ascii="Times New Roman" w:hAnsi="Times New Roman" w:cs="Times New Roman"/>
          <w:sz w:val="28"/>
          <w:szCs w:val="28"/>
        </w:rPr>
        <w:t>[</w:t>
      </w:r>
      <w:r w:rsidR="00BC4E13">
        <w:rPr>
          <w:rFonts w:ascii="Times New Roman" w:hAnsi="Times New Roman" w:cs="Times New Roman"/>
          <w:sz w:val="28"/>
          <w:szCs w:val="28"/>
        </w:rPr>
        <w:fldChar w:fldCharType="begin"/>
      </w:r>
      <w:r w:rsidR="00BC4E13">
        <w:rPr>
          <w:rFonts w:ascii="Times New Roman" w:hAnsi="Times New Roman" w:cs="Times New Roman"/>
          <w:sz w:val="28"/>
          <w:szCs w:val="28"/>
        </w:rPr>
        <w:instrText xml:space="preserve"> REF _Ref214657308 \r \h </w:instrText>
      </w:r>
      <w:r w:rsidR="00BC4E13">
        <w:rPr>
          <w:rFonts w:ascii="Times New Roman" w:hAnsi="Times New Roman" w:cs="Times New Roman"/>
          <w:sz w:val="28"/>
          <w:szCs w:val="28"/>
        </w:rPr>
      </w:r>
      <w:r w:rsidR="00BC4E13">
        <w:rPr>
          <w:rFonts w:ascii="Times New Roman" w:hAnsi="Times New Roman" w:cs="Times New Roman"/>
          <w:sz w:val="28"/>
          <w:szCs w:val="28"/>
        </w:rPr>
        <w:fldChar w:fldCharType="separate"/>
      </w:r>
      <w:r w:rsidR="00BC4E13">
        <w:rPr>
          <w:rFonts w:ascii="Times New Roman" w:hAnsi="Times New Roman" w:cs="Times New Roman"/>
          <w:sz w:val="28"/>
          <w:szCs w:val="28"/>
        </w:rPr>
        <w:t>4</w:t>
      </w:r>
      <w:r w:rsidR="00BC4E13">
        <w:rPr>
          <w:rFonts w:ascii="Times New Roman" w:hAnsi="Times New Roman" w:cs="Times New Roman"/>
          <w:sz w:val="28"/>
          <w:szCs w:val="28"/>
        </w:rPr>
        <w:fldChar w:fldCharType="end"/>
      </w:r>
      <w:r w:rsidR="00BC4E13" w:rsidRPr="00BC4E13">
        <w:rPr>
          <w:rFonts w:ascii="Times New Roman" w:hAnsi="Times New Roman" w:cs="Times New Roman"/>
          <w:sz w:val="28"/>
          <w:szCs w:val="28"/>
        </w:rPr>
        <w:t>]</w:t>
      </w:r>
    </w:p>
    <w:tbl>
      <w:tblPr>
        <w:tblStyle w:val="ad"/>
        <w:tblW w:w="0" w:type="auto"/>
        <w:tblLayout w:type="fixed"/>
        <w:tblLook w:val="04A0" w:firstRow="1" w:lastRow="0" w:firstColumn="1" w:lastColumn="0" w:noHBand="0" w:noVBand="1"/>
      </w:tblPr>
      <w:tblGrid>
        <w:gridCol w:w="896"/>
        <w:gridCol w:w="942"/>
        <w:gridCol w:w="1562"/>
        <w:gridCol w:w="975"/>
        <w:gridCol w:w="1101"/>
        <w:gridCol w:w="975"/>
        <w:gridCol w:w="1101"/>
        <w:gridCol w:w="975"/>
        <w:gridCol w:w="1101"/>
      </w:tblGrid>
      <w:tr w:rsidR="007F0E5A" w:rsidRPr="003144AF" w14:paraId="7384782F" w14:textId="52979279" w:rsidTr="003144AF">
        <w:tc>
          <w:tcPr>
            <w:tcW w:w="1838" w:type="dxa"/>
            <w:gridSpan w:val="2"/>
          </w:tcPr>
          <w:p w14:paraId="472C149A" w14:textId="1AA985FC"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Результат рейтинга</w:t>
            </w:r>
          </w:p>
        </w:tc>
        <w:tc>
          <w:tcPr>
            <w:tcW w:w="1562" w:type="dxa"/>
            <w:vMerge w:val="restart"/>
          </w:tcPr>
          <w:p w14:paraId="011F26B3" w14:textId="6C00684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Компания</w:t>
            </w:r>
          </w:p>
        </w:tc>
        <w:tc>
          <w:tcPr>
            <w:tcW w:w="2076" w:type="dxa"/>
            <w:gridSpan w:val="2"/>
          </w:tcPr>
          <w:p w14:paraId="1055D0E0" w14:textId="25A172AC"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Представленность в интернете</w:t>
            </w:r>
          </w:p>
        </w:tc>
        <w:tc>
          <w:tcPr>
            <w:tcW w:w="2076" w:type="dxa"/>
            <w:gridSpan w:val="2"/>
          </w:tcPr>
          <w:p w14:paraId="3A308C55" w14:textId="3F158FF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Продвижение и коммуникации</w:t>
            </w:r>
          </w:p>
        </w:tc>
        <w:tc>
          <w:tcPr>
            <w:tcW w:w="2076" w:type="dxa"/>
            <w:gridSpan w:val="2"/>
          </w:tcPr>
          <w:p w14:paraId="1BDB00EE" w14:textId="21D9E46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Онлайн-продажи</w:t>
            </w:r>
          </w:p>
        </w:tc>
      </w:tr>
      <w:tr w:rsidR="000E3119" w:rsidRPr="003144AF" w14:paraId="567DD3EE" w14:textId="3BBF5D30" w:rsidTr="003144AF">
        <w:tc>
          <w:tcPr>
            <w:tcW w:w="896" w:type="dxa"/>
          </w:tcPr>
          <w:p w14:paraId="3C03A513" w14:textId="1312BC0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Место в общем рейтинге</w:t>
            </w:r>
          </w:p>
        </w:tc>
        <w:tc>
          <w:tcPr>
            <w:tcW w:w="942" w:type="dxa"/>
          </w:tcPr>
          <w:p w14:paraId="72E0A96F" w14:textId="1568CAAD"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Количество баллов</w:t>
            </w:r>
          </w:p>
        </w:tc>
        <w:tc>
          <w:tcPr>
            <w:tcW w:w="1562" w:type="dxa"/>
            <w:vMerge/>
          </w:tcPr>
          <w:p w14:paraId="2FD0F7DE" w14:textId="77777777" w:rsidR="000E3119" w:rsidRPr="003144AF" w:rsidRDefault="000E3119" w:rsidP="0069378D">
            <w:pPr>
              <w:jc w:val="center"/>
              <w:rPr>
                <w:rFonts w:ascii="Times New Roman" w:hAnsi="Times New Roman" w:cs="Times New Roman"/>
                <w:sz w:val="24"/>
                <w:szCs w:val="24"/>
              </w:rPr>
            </w:pPr>
          </w:p>
        </w:tc>
        <w:tc>
          <w:tcPr>
            <w:tcW w:w="975" w:type="dxa"/>
          </w:tcPr>
          <w:p w14:paraId="7EC1D2E4" w14:textId="1C3B158D"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Место в категории</w:t>
            </w:r>
          </w:p>
        </w:tc>
        <w:tc>
          <w:tcPr>
            <w:tcW w:w="1101" w:type="dxa"/>
          </w:tcPr>
          <w:p w14:paraId="6CC46D76" w14:textId="1942E0B3"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Количество баллов</w:t>
            </w:r>
          </w:p>
        </w:tc>
        <w:tc>
          <w:tcPr>
            <w:tcW w:w="975" w:type="dxa"/>
          </w:tcPr>
          <w:p w14:paraId="46A832CA" w14:textId="4389FBD3"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Место в категории</w:t>
            </w:r>
          </w:p>
        </w:tc>
        <w:tc>
          <w:tcPr>
            <w:tcW w:w="1101" w:type="dxa"/>
          </w:tcPr>
          <w:p w14:paraId="3DB15104" w14:textId="44185EA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Количество баллов</w:t>
            </w:r>
          </w:p>
        </w:tc>
        <w:tc>
          <w:tcPr>
            <w:tcW w:w="975" w:type="dxa"/>
          </w:tcPr>
          <w:p w14:paraId="3745718B" w14:textId="49DCF15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Место в категории</w:t>
            </w:r>
          </w:p>
        </w:tc>
        <w:tc>
          <w:tcPr>
            <w:tcW w:w="1101" w:type="dxa"/>
          </w:tcPr>
          <w:p w14:paraId="3766D327" w14:textId="500FFC9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Количество баллов</w:t>
            </w:r>
          </w:p>
        </w:tc>
      </w:tr>
      <w:tr w:rsidR="000E3119" w:rsidRPr="003144AF" w14:paraId="63A6FEF3" w14:textId="7EBF5B67" w:rsidTr="003144AF">
        <w:tc>
          <w:tcPr>
            <w:tcW w:w="896" w:type="dxa"/>
          </w:tcPr>
          <w:p w14:paraId="34382442" w14:textId="1058F62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w:t>
            </w:r>
          </w:p>
        </w:tc>
        <w:tc>
          <w:tcPr>
            <w:tcW w:w="942" w:type="dxa"/>
          </w:tcPr>
          <w:p w14:paraId="68D3C6CD" w14:textId="66B1A30E"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315</w:t>
            </w:r>
          </w:p>
        </w:tc>
        <w:tc>
          <w:tcPr>
            <w:tcW w:w="1562" w:type="dxa"/>
          </w:tcPr>
          <w:p w14:paraId="1F7E839C" w14:textId="7530A31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Совкомбанк</w:t>
            </w:r>
          </w:p>
        </w:tc>
        <w:tc>
          <w:tcPr>
            <w:tcW w:w="975" w:type="dxa"/>
          </w:tcPr>
          <w:p w14:paraId="538BC90B" w14:textId="65ECD70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w:t>
            </w:r>
          </w:p>
        </w:tc>
        <w:tc>
          <w:tcPr>
            <w:tcW w:w="1101" w:type="dxa"/>
          </w:tcPr>
          <w:p w14:paraId="34AC8EE0" w14:textId="2FC45383"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120</w:t>
            </w:r>
          </w:p>
        </w:tc>
        <w:tc>
          <w:tcPr>
            <w:tcW w:w="975" w:type="dxa"/>
          </w:tcPr>
          <w:p w14:paraId="5AF20615" w14:textId="19C492C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w:t>
            </w:r>
          </w:p>
        </w:tc>
        <w:tc>
          <w:tcPr>
            <w:tcW w:w="1101" w:type="dxa"/>
          </w:tcPr>
          <w:p w14:paraId="11E04440" w14:textId="0BB8D81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c>
          <w:tcPr>
            <w:tcW w:w="975" w:type="dxa"/>
          </w:tcPr>
          <w:p w14:paraId="6FC91C27" w14:textId="4D46DD5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w:t>
            </w:r>
          </w:p>
        </w:tc>
        <w:tc>
          <w:tcPr>
            <w:tcW w:w="1101" w:type="dxa"/>
          </w:tcPr>
          <w:p w14:paraId="0E226F43" w14:textId="033564B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100</w:t>
            </w:r>
          </w:p>
        </w:tc>
      </w:tr>
      <w:tr w:rsidR="000E3119" w:rsidRPr="003144AF" w14:paraId="655CF8F0" w14:textId="5A132618" w:rsidTr="003144AF">
        <w:tc>
          <w:tcPr>
            <w:tcW w:w="896" w:type="dxa"/>
          </w:tcPr>
          <w:p w14:paraId="188F96DB" w14:textId="3FE922B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w:t>
            </w:r>
          </w:p>
        </w:tc>
        <w:tc>
          <w:tcPr>
            <w:tcW w:w="942" w:type="dxa"/>
          </w:tcPr>
          <w:p w14:paraId="579B1C95" w14:textId="085B1C0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305</w:t>
            </w:r>
          </w:p>
        </w:tc>
        <w:tc>
          <w:tcPr>
            <w:tcW w:w="1562" w:type="dxa"/>
          </w:tcPr>
          <w:p w14:paraId="74A475D7" w14:textId="4DC24E4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Т-Банк</w:t>
            </w:r>
          </w:p>
        </w:tc>
        <w:tc>
          <w:tcPr>
            <w:tcW w:w="975" w:type="dxa"/>
          </w:tcPr>
          <w:p w14:paraId="6449A0A8" w14:textId="324193F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w:t>
            </w:r>
          </w:p>
        </w:tc>
        <w:tc>
          <w:tcPr>
            <w:tcW w:w="1101" w:type="dxa"/>
          </w:tcPr>
          <w:p w14:paraId="77A52811" w14:textId="51F0A16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115</w:t>
            </w:r>
          </w:p>
        </w:tc>
        <w:tc>
          <w:tcPr>
            <w:tcW w:w="975" w:type="dxa"/>
          </w:tcPr>
          <w:p w14:paraId="15FF089E" w14:textId="176D2C5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w:t>
            </w:r>
          </w:p>
        </w:tc>
        <w:tc>
          <w:tcPr>
            <w:tcW w:w="1101" w:type="dxa"/>
          </w:tcPr>
          <w:p w14:paraId="73FA535C" w14:textId="70784FC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c>
          <w:tcPr>
            <w:tcW w:w="975" w:type="dxa"/>
          </w:tcPr>
          <w:p w14:paraId="5CFBA043" w14:textId="52995F0E"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4</w:t>
            </w:r>
          </w:p>
        </w:tc>
        <w:tc>
          <w:tcPr>
            <w:tcW w:w="1101" w:type="dxa"/>
          </w:tcPr>
          <w:p w14:paraId="2BA94EDF" w14:textId="2199AE6C"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r>
      <w:tr w:rsidR="000E3119" w:rsidRPr="003144AF" w14:paraId="00CE2D95" w14:textId="194386EC" w:rsidTr="003144AF">
        <w:tc>
          <w:tcPr>
            <w:tcW w:w="896" w:type="dxa"/>
          </w:tcPr>
          <w:p w14:paraId="3AC70D98" w14:textId="1FC52AD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w:t>
            </w:r>
          </w:p>
        </w:tc>
        <w:tc>
          <w:tcPr>
            <w:tcW w:w="942" w:type="dxa"/>
          </w:tcPr>
          <w:p w14:paraId="0161441C" w14:textId="1736A11C"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305</w:t>
            </w:r>
          </w:p>
        </w:tc>
        <w:tc>
          <w:tcPr>
            <w:tcW w:w="1562" w:type="dxa"/>
          </w:tcPr>
          <w:p w14:paraId="0B7E8904" w14:textId="442628F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Альфа-Банк</w:t>
            </w:r>
          </w:p>
        </w:tc>
        <w:tc>
          <w:tcPr>
            <w:tcW w:w="975" w:type="dxa"/>
          </w:tcPr>
          <w:p w14:paraId="105B23B1" w14:textId="25CF5F2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w:t>
            </w:r>
          </w:p>
        </w:tc>
        <w:tc>
          <w:tcPr>
            <w:tcW w:w="1101" w:type="dxa"/>
          </w:tcPr>
          <w:p w14:paraId="1374F5FD" w14:textId="141B1F5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105</w:t>
            </w:r>
          </w:p>
        </w:tc>
        <w:tc>
          <w:tcPr>
            <w:tcW w:w="975" w:type="dxa"/>
          </w:tcPr>
          <w:p w14:paraId="090D9AFB" w14:textId="6F8D17E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w:t>
            </w:r>
          </w:p>
        </w:tc>
        <w:tc>
          <w:tcPr>
            <w:tcW w:w="1101" w:type="dxa"/>
          </w:tcPr>
          <w:p w14:paraId="69FF4385" w14:textId="4CA9434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c>
          <w:tcPr>
            <w:tcW w:w="975" w:type="dxa"/>
          </w:tcPr>
          <w:p w14:paraId="7F74444D" w14:textId="14869F83"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w:t>
            </w:r>
          </w:p>
        </w:tc>
        <w:tc>
          <w:tcPr>
            <w:tcW w:w="1101" w:type="dxa"/>
          </w:tcPr>
          <w:p w14:paraId="4E9BD144" w14:textId="4A19D30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110</w:t>
            </w:r>
          </w:p>
        </w:tc>
      </w:tr>
      <w:tr w:rsidR="000E3119" w:rsidRPr="003144AF" w14:paraId="2B461229" w14:textId="4AB80D1F" w:rsidTr="003144AF">
        <w:tc>
          <w:tcPr>
            <w:tcW w:w="896" w:type="dxa"/>
          </w:tcPr>
          <w:p w14:paraId="00B76A46" w14:textId="2B48BFA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4</w:t>
            </w:r>
          </w:p>
        </w:tc>
        <w:tc>
          <w:tcPr>
            <w:tcW w:w="942" w:type="dxa"/>
          </w:tcPr>
          <w:p w14:paraId="1774BB4D" w14:textId="3E75FED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290</w:t>
            </w:r>
          </w:p>
        </w:tc>
        <w:tc>
          <w:tcPr>
            <w:tcW w:w="1562" w:type="dxa"/>
          </w:tcPr>
          <w:p w14:paraId="74423CF7" w14:textId="1C28D147"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ВТБ</w:t>
            </w:r>
          </w:p>
        </w:tc>
        <w:tc>
          <w:tcPr>
            <w:tcW w:w="975" w:type="dxa"/>
          </w:tcPr>
          <w:p w14:paraId="2C29C5EE" w14:textId="64F14ADC"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7</w:t>
            </w:r>
          </w:p>
        </w:tc>
        <w:tc>
          <w:tcPr>
            <w:tcW w:w="1101" w:type="dxa"/>
          </w:tcPr>
          <w:p w14:paraId="599B16CC" w14:textId="6F540ACA"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105</w:t>
            </w:r>
          </w:p>
        </w:tc>
        <w:tc>
          <w:tcPr>
            <w:tcW w:w="975" w:type="dxa"/>
          </w:tcPr>
          <w:p w14:paraId="2DC67A0F" w14:textId="062ED68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4</w:t>
            </w:r>
          </w:p>
        </w:tc>
        <w:tc>
          <w:tcPr>
            <w:tcW w:w="1101" w:type="dxa"/>
          </w:tcPr>
          <w:p w14:paraId="32456525" w14:textId="51D8B07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c>
          <w:tcPr>
            <w:tcW w:w="975" w:type="dxa"/>
          </w:tcPr>
          <w:p w14:paraId="3B9DFA07" w14:textId="00F5ED3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5</w:t>
            </w:r>
          </w:p>
        </w:tc>
        <w:tc>
          <w:tcPr>
            <w:tcW w:w="1101" w:type="dxa"/>
          </w:tcPr>
          <w:p w14:paraId="11DC3BED" w14:textId="125BC39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r>
      <w:tr w:rsidR="000E3119" w:rsidRPr="003144AF" w14:paraId="7D579FEB" w14:textId="77777777" w:rsidTr="003144AF">
        <w:tc>
          <w:tcPr>
            <w:tcW w:w="896" w:type="dxa"/>
          </w:tcPr>
          <w:p w14:paraId="4FC58249" w14:textId="259EF4B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5</w:t>
            </w:r>
          </w:p>
        </w:tc>
        <w:tc>
          <w:tcPr>
            <w:tcW w:w="942" w:type="dxa"/>
          </w:tcPr>
          <w:p w14:paraId="672417C3" w14:textId="1EF7319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285</w:t>
            </w:r>
          </w:p>
        </w:tc>
        <w:tc>
          <w:tcPr>
            <w:tcW w:w="1562" w:type="dxa"/>
          </w:tcPr>
          <w:p w14:paraId="6EB08D99" w14:textId="10D7FFD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Газпромбанк</w:t>
            </w:r>
          </w:p>
        </w:tc>
        <w:tc>
          <w:tcPr>
            <w:tcW w:w="975" w:type="dxa"/>
          </w:tcPr>
          <w:p w14:paraId="063506CB" w14:textId="0C35B0B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3</w:t>
            </w:r>
          </w:p>
        </w:tc>
        <w:tc>
          <w:tcPr>
            <w:tcW w:w="1101" w:type="dxa"/>
          </w:tcPr>
          <w:p w14:paraId="3B5255EA" w14:textId="754A698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115</w:t>
            </w:r>
          </w:p>
        </w:tc>
        <w:tc>
          <w:tcPr>
            <w:tcW w:w="975" w:type="dxa"/>
          </w:tcPr>
          <w:p w14:paraId="60B6C660" w14:textId="1BC8E4B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16</w:t>
            </w:r>
          </w:p>
        </w:tc>
        <w:tc>
          <w:tcPr>
            <w:tcW w:w="1101" w:type="dxa"/>
          </w:tcPr>
          <w:p w14:paraId="5EE53EF1" w14:textId="07EC7D1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60</w:t>
            </w:r>
          </w:p>
        </w:tc>
        <w:tc>
          <w:tcPr>
            <w:tcW w:w="975" w:type="dxa"/>
          </w:tcPr>
          <w:p w14:paraId="1BAC9D3D" w14:textId="1687DF3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w:t>
            </w:r>
          </w:p>
        </w:tc>
        <w:tc>
          <w:tcPr>
            <w:tcW w:w="1101" w:type="dxa"/>
          </w:tcPr>
          <w:p w14:paraId="4818E009" w14:textId="36D4977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110</w:t>
            </w:r>
          </w:p>
        </w:tc>
      </w:tr>
      <w:tr w:rsidR="000E3119" w:rsidRPr="003144AF" w14:paraId="15520D79" w14:textId="77777777" w:rsidTr="003144AF">
        <w:tc>
          <w:tcPr>
            <w:tcW w:w="896" w:type="dxa"/>
          </w:tcPr>
          <w:p w14:paraId="5DA187B8" w14:textId="14C4104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w:t>
            </w:r>
          </w:p>
        </w:tc>
        <w:tc>
          <w:tcPr>
            <w:tcW w:w="942" w:type="dxa"/>
          </w:tcPr>
          <w:p w14:paraId="18E08672" w14:textId="3998191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280</w:t>
            </w:r>
          </w:p>
        </w:tc>
        <w:tc>
          <w:tcPr>
            <w:tcW w:w="1562" w:type="dxa"/>
          </w:tcPr>
          <w:p w14:paraId="78928CC4" w14:textId="2A7D2C5D"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Промсвязьбанк</w:t>
            </w:r>
          </w:p>
        </w:tc>
        <w:tc>
          <w:tcPr>
            <w:tcW w:w="975" w:type="dxa"/>
          </w:tcPr>
          <w:p w14:paraId="292F34BD" w14:textId="1F1BB46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w:t>
            </w:r>
          </w:p>
        </w:tc>
        <w:tc>
          <w:tcPr>
            <w:tcW w:w="1101" w:type="dxa"/>
          </w:tcPr>
          <w:p w14:paraId="1307021E" w14:textId="106D091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100</w:t>
            </w:r>
          </w:p>
        </w:tc>
        <w:tc>
          <w:tcPr>
            <w:tcW w:w="975" w:type="dxa"/>
          </w:tcPr>
          <w:p w14:paraId="0EE8E901" w14:textId="4202877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5</w:t>
            </w:r>
          </w:p>
        </w:tc>
        <w:tc>
          <w:tcPr>
            <w:tcW w:w="1101" w:type="dxa"/>
          </w:tcPr>
          <w:p w14:paraId="183F965F" w14:textId="5D96B15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85</w:t>
            </w:r>
          </w:p>
        </w:tc>
        <w:tc>
          <w:tcPr>
            <w:tcW w:w="975" w:type="dxa"/>
          </w:tcPr>
          <w:p w14:paraId="5A78672B" w14:textId="791E674A"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w:t>
            </w:r>
          </w:p>
        </w:tc>
        <w:tc>
          <w:tcPr>
            <w:tcW w:w="1101" w:type="dxa"/>
          </w:tcPr>
          <w:p w14:paraId="581AC059" w14:textId="68B1887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r>
      <w:tr w:rsidR="000E3119" w:rsidRPr="003144AF" w14:paraId="5C31E918" w14:textId="77777777" w:rsidTr="003144AF">
        <w:tc>
          <w:tcPr>
            <w:tcW w:w="896" w:type="dxa"/>
          </w:tcPr>
          <w:p w14:paraId="368E2247" w14:textId="7DCE51FD"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7</w:t>
            </w:r>
          </w:p>
        </w:tc>
        <w:tc>
          <w:tcPr>
            <w:tcW w:w="942" w:type="dxa"/>
          </w:tcPr>
          <w:p w14:paraId="05C5D64A" w14:textId="06F6632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270</w:t>
            </w:r>
          </w:p>
        </w:tc>
        <w:tc>
          <w:tcPr>
            <w:tcW w:w="1562" w:type="dxa"/>
          </w:tcPr>
          <w:p w14:paraId="11BA75DB" w14:textId="31D1E1B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Сбербанк</w:t>
            </w:r>
          </w:p>
        </w:tc>
        <w:tc>
          <w:tcPr>
            <w:tcW w:w="975" w:type="dxa"/>
          </w:tcPr>
          <w:p w14:paraId="3948030A" w14:textId="5BCC9D3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4</w:t>
            </w:r>
          </w:p>
        </w:tc>
        <w:tc>
          <w:tcPr>
            <w:tcW w:w="1101" w:type="dxa"/>
          </w:tcPr>
          <w:p w14:paraId="1AA95E1E" w14:textId="510D57D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110</w:t>
            </w:r>
          </w:p>
        </w:tc>
        <w:tc>
          <w:tcPr>
            <w:tcW w:w="975" w:type="dxa"/>
          </w:tcPr>
          <w:p w14:paraId="6E8C6350" w14:textId="07EF56B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w:t>
            </w:r>
          </w:p>
        </w:tc>
        <w:tc>
          <w:tcPr>
            <w:tcW w:w="1101" w:type="dxa"/>
          </w:tcPr>
          <w:p w14:paraId="1ACAD9AB" w14:textId="77A9E8BA"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80</w:t>
            </w:r>
          </w:p>
        </w:tc>
        <w:tc>
          <w:tcPr>
            <w:tcW w:w="975" w:type="dxa"/>
          </w:tcPr>
          <w:p w14:paraId="730D3448" w14:textId="03AD8CA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15</w:t>
            </w:r>
          </w:p>
        </w:tc>
        <w:tc>
          <w:tcPr>
            <w:tcW w:w="1101" w:type="dxa"/>
          </w:tcPr>
          <w:p w14:paraId="5C9BB314" w14:textId="6C7403FD"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80</w:t>
            </w:r>
          </w:p>
        </w:tc>
      </w:tr>
      <w:tr w:rsidR="000E3119" w:rsidRPr="003144AF" w14:paraId="08611C11" w14:textId="77777777" w:rsidTr="003144AF">
        <w:tc>
          <w:tcPr>
            <w:tcW w:w="896" w:type="dxa"/>
          </w:tcPr>
          <w:p w14:paraId="44BB0506" w14:textId="39C9E0F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w:t>
            </w:r>
          </w:p>
        </w:tc>
        <w:tc>
          <w:tcPr>
            <w:tcW w:w="942" w:type="dxa"/>
          </w:tcPr>
          <w:p w14:paraId="55BC86D4" w14:textId="648F55F6"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265</w:t>
            </w:r>
          </w:p>
        </w:tc>
        <w:tc>
          <w:tcPr>
            <w:tcW w:w="1562" w:type="dxa"/>
          </w:tcPr>
          <w:p w14:paraId="3C8D5014" w14:textId="3523C6A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Россельхозбанк</w:t>
            </w:r>
          </w:p>
        </w:tc>
        <w:tc>
          <w:tcPr>
            <w:tcW w:w="975" w:type="dxa"/>
          </w:tcPr>
          <w:p w14:paraId="1445D9AC" w14:textId="3889182A"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w:t>
            </w:r>
          </w:p>
        </w:tc>
        <w:tc>
          <w:tcPr>
            <w:tcW w:w="1101" w:type="dxa"/>
          </w:tcPr>
          <w:p w14:paraId="56BC5D1F" w14:textId="47134577"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c>
          <w:tcPr>
            <w:tcW w:w="975" w:type="dxa"/>
          </w:tcPr>
          <w:p w14:paraId="134D4C99" w14:textId="495CCB7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7</w:t>
            </w:r>
          </w:p>
        </w:tc>
        <w:tc>
          <w:tcPr>
            <w:tcW w:w="1101" w:type="dxa"/>
          </w:tcPr>
          <w:p w14:paraId="1780575C" w14:textId="0AB1846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80</w:t>
            </w:r>
          </w:p>
        </w:tc>
        <w:tc>
          <w:tcPr>
            <w:tcW w:w="975" w:type="dxa"/>
          </w:tcPr>
          <w:p w14:paraId="31A42CBB" w14:textId="5730AAC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7</w:t>
            </w:r>
          </w:p>
        </w:tc>
        <w:tc>
          <w:tcPr>
            <w:tcW w:w="1101" w:type="dxa"/>
          </w:tcPr>
          <w:p w14:paraId="0254C047" w14:textId="003AB77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95</w:t>
            </w:r>
          </w:p>
        </w:tc>
      </w:tr>
      <w:tr w:rsidR="000E3119" w:rsidRPr="003144AF" w14:paraId="6B14872D" w14:textId="77777777" w:rsidTr="003144AF">
        <w:tc>
          <w:tcPr>
            <w:tcW w:w="896" w:type="dxa"/>
          </w:tcPr>
          <w:p w14:paraId="77EE58B9" w14:textId="679C817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w:t>
            </w:r>
          </w:p>
        </w:tc>
        <w:tc>
          <w:tcPr>
            <w:tcW w:w="942" w:type="dxa"/>
          </w:tcPr>
          <w:p w14:paraId="0DCE9829" w14:textId="496EE6D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245</w:t>
            </w:r>
          </w:p>
        </w:tc>
        <w:tc>
          <w:tcPr>
            <w:tcW w:w="1562" w:type="dxa"/>
          </w:tcPr>
          <w:p w14:paraId="49B0268C" w14:textId="00029F4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Уральский банк реконструкция и развития</w:t>
            </w:r>
          </w:p>
        </w:tc>
        <w:tc>
          <w:tcPr>
            <w:tcW w:w="975" w:type="dxa"/>
          </w:tcPr>
          <w:p w14:paraId="05C3B7E8" w14:textId="05CF28F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w:t>
            </w:r>
          </w:p>
        </w:tc>
        <w:tc>
          <w:tcPr>
            <w:tcW w:w="1101" w:type="dxa"/>
          </w:tcPr>
          <w:p w14:paraId="4072FA1A" w14:textId="0C360155"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c>
          <w:tcPr>
            <w:tcW w:w="975" w:type="dxa"/>
          </w:tcPr>
          <w:p w14:paraId="15F1817A" w14:textId="0EDDC890"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w:t>
            </w:r>
          </w:p>
        </w:tc>
        <w:tc>
          <w:tcPr>
            <w:tcW w:w="1101" w:type="dxa"/>
          </w:tcPr>
          <w:p w14:paraId="6D00EA7A" w14:textId="2EE17F52"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70</w:t>
            </w:r>
          </w:p>
        </w:tc>
        <w:tc>
          <w:tcPr>
            <w:tcW w:w="975" w:type="dxa"/>
          </w:tcPr>
          <w:p w14:paraId="57303D42" w14:textId="39B59B3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12</w:t>
            </w:r>
          </w:p>
        </w:tc>
        <w:tc>
          <w:tcPr>
            <w:tcW w:w="1101" w:type="dxa"/>
          </w:tcPr>
          <w:p w14:paraId="70AAFF64" w14:textId="48B94C73"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85</w:t>
            </w:r>
          </w:p>
        </w:tc>
      </w:tr>
      <w:tr w:rsidR="000E3119" w:rsidRPr="003144AF" w14:paraId="04580601" w14:textId="77777777" w:rsidTr="003144AF">
        <w:tc>
          <w:tcPr>
            <w:tcW w:w="896" w:type="dxa"/>
          </w:tcPr>
          <w:p w14:paraId="6153045E" w14:textId="079D828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10</w:t>
            </w:r>
          </w:p>
        </w:tc>
        <w:tc>
          <w:tcPr>
            <w:tcW w:w="942" w:type="dxa"/>
          </w:tcPr>
          <w:p w14:paraId="48DB8482" w14:textId="2B3023FF"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245</w:t>
            </w:r>
          </w:p>
        </w:tc>
        <w:tc>
          <w:tcPr>
            <w:tcW w:w="1562" w:type="dxa"/>
          </w:tcPr>
          <w:p w14:paraId="28773A75" w14:textId="3AB5B6A4"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МТС Банк</w:t>
            </w:r>
          </w:p>
        </w:tc>
        <w:tc>
          <w:tcPr>
            <w:tcW w:w="975" w:type="dxa"/>
          </w:tcPr>
          <w:p w14:paraId="010A5C12" w14:textId="10747378"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11</w:t>
            </w:r>
          </w:p>
        </w:tc>
        <w:tc>
          <w:tcPr>
            <w:tcW w:w="1101" w:type="dxa"/>
          </w:tcPr>
          <w:p w14:paraId="057ACF8C" w14:textId="342B4639"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c>
          <w:tcPr>
            <w:tcW w:w="975" w:type="dxa"/>
          </w:tcPr>
          <w:p w14:paraId="5378D965" w14:textId="3D7BE3A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12</w:t>
            </w:r>
          </w:p>
        </w:tc>
        <w:tc>
          <w:tcPr>
            <w:tcW w:w="1101" w:type="dxa"/>
          </w:tcPr>
          <w:p w14:paraId="5E38CB1E" w14:textId="4501417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65</w:t>
            </w:r>
          </w:p>
        </w:tc>
        <w:tc>
          <w:tcPr>
            <w:tcW w:w="975" w:type="dxa"/>
          </w:tcPr>
          <w:p w14:paraId="43D52D2B" w14:textId="5C38551B"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w:t>
            </w:r>
          </w:p>
        </w:tc>
        <w:tc>
          <w:tcPr>
            <w:tcW w:w="1101" w:type="dxa"/>
          </w:tcPr>
          <w:p w14:paraId="64329A58" w14:textId="5CD53961" w:rsidR="000E3119" w:rsidRPr="003144AF" w:rsidRDefault="000E3119" w:rsidP="0069378D">
            <w:pPr>
              <w:jc w:val="center"/>
              <w:rPr>
                <w:rFonts w:ascii="Times New Roman" w:hAnsi="Times New Roman" w:cs="Times New Roman"/>
                <w:sz w:val="24"/>
                <w:szCs w:val="24"/>
              </w:rPr>
            </w:pPr>
            <w:r w:rsidRPr="003144AF">
              <w:rPr>
                <w:rFonts w:ascii="Times New Roman" w:hAnsi="Times New Roman" w:cs="Times New Roman"/>
                <w:sz w:val="24"/>
                <w:szCs w:val="24"/>
              </w:rPr>
              <w:t>90</w:t>
            </w:r>
          </w:p>
        </w:tc>
      </w:tr>
    </w:tbl>
    <w:p w14:paraId="262FC6CD" w14:textId="40F35677" w:rsidR="004C6D8B" w:rsidRDefault="004C6D8B" w:rsidP="007F0E5A">
      <w:pPr>
        <w:spacing w:after="0" w:line="360" w:lineRule="auto"/>
        <w:jc w:val="both"/>
        <w:rPr>
          <w:rFonts w:ascii="Times New Roman" w:hAnsi="Times New Roman" w:cs="Times New Roman"/>
          <w:sz w:val="28"/>
          <w:szCs w:val="28"/>
        </w:rPr>
      </w:pPr>
    </w:p>
    <w:p w14:paraId="509C55A7" w14:textId="2881DB82" w:rsidR="007F0E5A" w:rsidRDefault="00B5293E" w:rsidP="007F0E5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ходе </w:t>
      </w:r>
      <w:r w:rsidR="007F0E5A">
        <w:rPr>
          <w:rFonts w:ascii="Times New Roman" w:hAnsi="Times New Roman" w:cs="Times New Roman"/>
          <w:sz w:val="28"/>
          <w:szCs w:val="28"/>
        </w:rPr>
        <w:t>исследовани</w:t>
      </w:r>
      <w:r>
        <w:rPr>
          <w:rFonts w:ascii="Times New Roman" w:hAnsi="Times New Roman" w:cs="Times New Roman"/>
          <w:sz w:val="28"/>
          <w:szCs w:val="28"/>
        </w:rPr>
        <w:t>я</w:t>
      </w:r>
      <w:r w:rsidR="007F0E5A">
        <w:rPr>
          <w:rFonts w:ascii="Times New Roman" w:hAnsi="Times New Roman" w:cs="Times New Roman"/>
          <w:sz w:val="28"/>
          <w:szCs w:val="28"/>
        </w:rPr>
        <w:t xml:space="preserve"> цифровой зрелости розничных банков, проведенном в 2024 </w:t>
      </w:r>
      <w:r>
        <w:rPr>
          <w:rFonts w:ascii="Times New Roman" w:hAnsi="Times New Roman" w:cs="Times New Roman"/>
          <w:sz w:val="28"/>
          <w:szCs w:val="28"/>
        </w:rPr>
        <w:t xml:space="preserve">году, был проведен анализ 36 параметров, сгруппированных в три </w:t>
      </w:r>
      <w:r>
        <w:rPr>
          <w:rFonts w:ascii="Times New Roman" w:hAnsi="Times New Roman" w:cs="Times New Roman"/>
          <w:sz w:val="28"/>
          <w:szCs w:val="28"/>
        </w:rPr>
        <w:lastRenderedPageBreak/>
        <w:t xml:space="preserve">ключевых блока, каждый из которых оценивается по десятибалльной шкале с максимальным итоговым результатом в 360 баллов. Первый блок, посвященный присутствию в цифровой среде, включает анализ качества сайта банка, функциональности мобильных приложений, активности в социальных сетях и на </w:t>
      </w:r>
      <w:r>
        <w:rPr>
          <w:rFonts w:ascii="Times New Roman" w:hAnsi="Times New Roman" w:cs="Times New Roman"/>
          <w:sz w:val="28"/>
          <w:szCs w:val="28"/>
          <w:lang w:val="en-US"/>
        </w:rPr>
        <w:t>Youtube</w:t>
      </w:r>
      <w:r>
        <w:rPr>
          <w:rFonts w:ascii="Times New Roman" w:hAnsi="Times New Roman" w:cs="Times New Roman"/>
          <w:sz w:val="28"/>
          <w:szCs w:val="28"/>
        </w:rPr>
        <w:t>-канале. Второй блок фокусируется на коммуникации и продвижени</w:t>
      </w:r>
      <w:r w:rsidR="00C165DB">
        <w:rPr>
          <w:rFonts w:ascii="Times New Roman" w:hAnsi="Times New Roman" w:cs="Times New Roman"/>
          <w:sz w:val="28"/>
          <w:szCs w:val="28"/>
        </w:rPr>
        <w:t>и</w:t>
      </w:r>
      <w:r>
        <w:rPr>
          <w:rFonts w:ascii="Times New Roman" w:hAnsi="Times New Roman" w:cs="Times New Roman"/>
          <w:sz w:val="28"/>
          <w:szCs w:val="28"/>
        </w:rPr>
        <w:t xml:space="preserve">, в которой изучается </w:t>
      </w:r>
      <w:r w:rsidR="00C165DB">
        <w:rPr>
          <w:rFonts w:ascii="Times New Roman" w:hAnsi="Times New Roman" w:cs="Times New Roman"/>
          <w:sz w:val="28"/>
          <w:szCs w:val="28"/>
        </w:rPr>
        <w:t xml:space="preserve">структура трафика, репутационные показатели в цифровом пространстве, работа с клиентами через мессенджеры и альтернативные каналы воздействия. Завершающий блок оценивает эффективность онлайн-продаж через внешние платформы, разнообразие цифровых продуктов, инфраструктуру продаж и системы финансовых услуг. </w:t>
      </w:r>
    </w:p>
    <w:p w14:paraId="527AE415" w14:textId="2F614A42" w:rsidR="00C165DB" w:rsidRDefault="00C165DB" w:rsidP="007F0E5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Согласно результатам исследования, Совкомбанк занял лидирующую позицию с 315 баллам, </w:t>
      </w:r>
      <w:r w:rsidR="00B05CC5">
        <w:rPr>
          <w:rFonts w:ascii="Times New Roman" w:hAnsi="Times New Roman" w:cs="Times New Roman"/>
          <w:sz w:val="28"/>
          <w:szCs w:val="28"/>
        </w:rPr>
        <w:t xml:space="preserve">показав высокие результаты в продвижении и коммуникации. Т-Банк и Альфа-Банк разделили рейтинг с результатом 305 баллов каждый, но с разным предоставлением сильных сторон. Альфа-Банк показал лучшие результаты по онлайн-продажам, тогда как Т-банк обеспечил сбалансированное развитие во всех направлениях. ВТБ, </w:t>
      </w:r>
      <w:proofErr w:type="gramStart"/>
      <w:r w:rsidR="00B05CC5">
        <w:rPr>
          <w:rFonts w:ascii="Times New Roman" w:hAnsi="Times New Roman" w:cs="Times New Roman"/>
          <w:sz w:val="28"/>
          <w:szCs w:val="28"/>
        </w:rPr>
        <w:t>занявший</w:t>
      </w:r>
      <w:proofErr w:type="gramEnd"/>
      <w:r w:rsidR="00B05CC5">
        <w:rPr>
          <w:rFonts w:ascii="Times New Roman" w:hAnsi="Times New Roman" w:cs="Times New Roman"/>
          <w:sz w:val="28"/>
          <w:szCs w:val="28"/>
        </w:rPr>
        <w:t xml:space="preserve"> четвертую позицию с 290 баллами, выделяется сильным цифровым присутствием, в то время как Газпромбанк демонстрирует высокую эффективность онлайн-продаж наравне с Альфа-Банком. </w:t>
      </w:r>
    </w:p>
    <w:p w14:paraId="0D09830E" w14:textId="5D75D839" w:rsidR="00B05CC5" w:rsidRDefault="00B05CC5" w:rsidP="007F0E5A">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Таким образом, анализ топ 10-банков показал, что банки с традиционно крупными активами не всегда демонстрируют высокую цифровую зрелость, что подчеркивает необходимость внедрением цифровых технологий в условиях растущей конкуренции цифровых финансовых сервисов. Особое внимание уделяется мобильным технологиям и автоматизации клиентских сервисов, что ста</w:t>
      </w:r>
      <w:r w:rsidR="00C13693">
        <w:rPr>
          <w:rFonts w:ascii="Times New Roman" w:hAnsi="Times New Roman" w:cs="Times New Roman"/>
          <w:sz w:val="28"/>
          <w:szCs w:val="28"/>
        </w:rPr>
        <w:t xml:space="preserve">новится определяющим фактором в формировании конкурентного преимущества на банковском рынке. </w:t>
      </w:r>
    </w:p>
    <w:p w14:paraId="52280DCD" w14:textId="2EA963D5" w:rsidR="00963D93" w:rsidRPr="00BC4E13" w:rsidRDefault="00963D93" w:rsidP="007F0E5A">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 xml:space="preserve">Рассмотрим основные направления развития финансовых технологий на период </w:t>
      </w:r>
      <w:r w:rsidR="008E709C">
        <w:rPr>
          <w:rFonts w:ascii="Times New Roman" w:hAnsi="Times New Roman" w:cs="Times New Roman"/>
          <w:sz w:val="28"/>
          <w:szCs w:val="28"/>
        </w:rPr>
        <w:t>2025-2027 гг.</w:t>
      </w:r>
      <w:r>
        <w:rPr>
          <w:rFonts w:ascii="Times New Roman" w:hAnsi="Times New Roman" w:cs="Times New Roman"/>
          <w:sz w:val="28"/>
          <w:szCs w:val="28"/>
        </w:rPr>
        <w:t xml:space="preserve">, разрабатываемые Банком России. </w:t>
      </w:r>
      <w:r w:rsidR="00BC4E13">
        <w:rPr>
          <w:rFonts w:ascii="Times New Roman" w:hAnsi="Times New Roman" w:cs="Times New Roman"/>
          <w:sz w:val="28"/>
          <w:szCs w:val="28"/>
          <w:lang w:val="en-US"/>
        </w:rPr>
        <w:t>[</w:t>
      </w:r>
      <w:r w:rsidR="00BC4E13">
        <w:rPr>
          <w:rFonts w:ascii="Times New Roman" w:hAnsi="Times New Roman" w:cs="Times New Roman"/>
          <w:sz w:val="28"/>
          <w:szCs w:val="28"/>
          <w:lang w:val="en-US"/>
        </w:rPr>
        <w:fldChar w:fldCharType="begin"/>
      </w:r>
      <w:r w:rsidR="00BC4E13">
        <w:rPr>
          <w:rFonts w:ascii="Times New Roman" w:hAnsi="Times New Roman" w:cs="Times New Roman"/>
          <w:sz w:val="28"/>
          <w:szCs w:val="28"/>
          <w:lang w:val="en-US"/>
        </w:rPr>
        <w:instrText xml:space="preserve"> REF _Ref214657322 \r \h </w:instrText>
      </w:r>
      <w:r w:rsidR="00BC4E13">
        <w:rPr>
          <w:rFonts w:ascii="Times New Roman" w:hAnsi="Times New Roman" w:cs="Times New Roman"/>
          <w:sz w:val="28"/>
          <w:szCs w:val="28"/>
          <w:lang w:val="en-US"/>
        </w:rPr>
      </w:r>
      <w:r w:rsidR="00BC4E13">
        <w:rPr>
          <w:rFonts w:ascii="Times New Roman" w:hAnsi="Times New Roman" w:cs="Times New Roman"/>
          <w:sz w:val="28"/>
          <w:szCs w:val="28"/>
          <w:lang w:val="en-US"/>
        </w:rPr>
        <w:fldChar w:fldCharType="separate"/>
      </w:r>
      <w:r w:rsidR="00BC4E13">
        <w:rPr>
          <w:rFonts w:ascii="Times New Roman" w:hAnsi="Times New Roman" w:cs="Times New Roman"/>
          <w:sz w:val="28"/>
          <w:szCs w:val="28"/>
          <w:lang w:val="en-US"/>
        </w:rPr>
        <w:t>6</w:t>
      </w:r>
      <w:r w:rsidR="00BC4E13">
        <w:rPr>
          <w:rFonts w:ascii="Times New Roman" w:hAnsi="Times New Roman" w:cs="Times New Roman"/>
          <w:sz w:val="28"/>
          <w:szCs w:val="28"/>
          <w:lang w:val="en-US"/>
        </w:rPr>
        <w:fldChar w:fldCharType="end"/>
      </w:r>
      <w:r w:rsidR="00BC4E13">
        <w:rPr>
          <w:rFonts w:ascii="Times New Roman" w:hAnsi="Times New Roman" w:cs="Times New Roman"/>
          <w:sz w:val="28"/>
          <w:szCs w:val="28"/>
          <w:lang w:val="en-US"/>
        </w:rPr>
        <w:t>]</w:t>
      </w:r>
    </w:p>
    <w:p w14:paraId="3B6C98C9" w14:textId="7AEDD534" w:rsidR="003144AF" w:rsidRPr="0017201A" w:rsidRDefault="0017201A" w:rsidP="00A27936">
      <w:pPr>
        <w:spacing w:after="0" w:line="360" w:lineRule="auto"/>
        <w:ind w:firstLine="567"/>
        <w:jc w:val="both"/>
        <w:rPr>
          <w:rFonts w:ascii="Times New Roman" w:hAnsi="Times New Roman" w:cs="Times New Roman"/>
          <w:sz w:val="28"/>
          <w:szCs w:val="28"/>
        </w:rPr>
      </w:pPr>
      <w:r w:rsidRPr="0017201A">
        <w:rPr>
          <w:rFonts w:ascii="Times New Roman" w:hAnsi="Times New Roman" w:cs="Times New Roman"/>
          <w:sz w:val="28"/>
          <w:szCs w:val="28"/>
        </w:rPr>
        <w:t>1.</w:t>
      </w:r>
      <w:r>
        <w:rPr>
          <w:rFonts w:ascii="Times New Roman" w:hAnsi="Times New Roman" w:cs="Times New Roman"/>
          <w:sz w:val="28"/>
          <w:szCs w:val="28"/>
        </w:rPr>
        <w:t xml:space="preserve">  </w:t>
      </w:r>
      <w:r w:rsidR="00F96DD0" w:rsidRPr="0017201A">
        <w:rPr>
          <w:rFonts w:ascii="Times New Roman" w:hAnsi="Times New Roman" w:cs="Times New Roman"/>
          <w:sz w:val="28"/>
          <w:szCs w:val="28"/>
        </w:rPr>
        <w:t>СБП</w:t>
      </w:r>
      <w:r w:rsidR="00A27936">
        <w:rPr>
          <w:rFonts w:ascii="Times New Roman" w:hAnsi="Times New Roman" w:cs="Times New Roman"/>
          <w:sz w:val="28"/>
          <w:szCs w:val="28"/>
        </w:rPr>
        <w:t xml:space="preserve">. </w:t>
      </w:r>
      <w:r w:rsidR="003144AF">
        <w:rPr>
          <w:rFonts w:ascii="Times New Roman" w:hAnsi="Times New Roman" w:cs="Times New Roman"/>
          <w:sz w:val="28"/>
          <w:szCs w:val="28"/>
        </w:rPr>
        <w:t xml:space="preserve">С 2019 года в России действует Система быстрых платежей (СБП), обеспечивающая бесперебойную возможность для физических лиц и </w:t>
      </w:r>
      <w:r w:rsidR="003144AF">
        <w:rPr>
          <w:rFonts w:ascii="Times New Roman" w:hAnsi="Times New Roman" w:cs="Times New Roman"/>
          <w:sz w:val="28"/>
          <w:szCs w:val="28"/>
        </w:rPr>
        <w:lastRenderedPageBreak/>
        <w:t xml:space="preserve">компаний мгновенно переводить средства между любыми подключенными банками без временных ограничений. </w:t>
      </w:r>
    </w:p>
    <w:p w14:paraId="3E3EBB8B" w14:textId="2717D18E" w:rsidR="0037342B" w:rsidRDefault="00DF0374" w:rsidP="00DF0374">
      <w:r>
        <w:rPr>
          <w:noProof/>
          <w:lang w:eastAsia="ru-RU"/>
        </w:rPr>
        <w:drawing>
          <wp:inline distT="0" distB="0" distL="0" distR="0" wp14:anchorId="3C8C1F88" wp14:editId="241CAE82">
            <wp:extent cx="6129866" cy="3149600"/>
            <wp:effectExtent l="0" t="0" r="4445" b="12700"/>
            <wp:docPr id="780772236"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AE8C3B" w14:textId="21FE29E2" w:rsidR="00DF0374" w:rsidRPr="00BC4E13" w:rsidRDefault="00DF0374" w:rsidP="00BC4E13">
      <w:pPr>
        <w:ind w:firstLine="567"/>
        <w:jc w:val="center"/>
        <w:rPr>
          <w:rFonts w:ascii="Times New Roman" w:hAnsi="Times New Roman" w:cs="Times New Roman"/>
          <w:sz w:val="28"/>
          <w:szCs w:val="28"/>
        </w:rPr>
      </w:pPr>
      <w:r>
        <w:rPr>
          <w:rFonts w:ascii="Times New Roman" w:hAnsi="Times New Roman" w:cs="Times New Roman"/>
          <w:sz w:val="28"/>
          <w:szCs w:val="28"/>
        </w:rPr>
        <w:t xml:space="preserve">Рис. </w:t>
      </w:r>
      <w:r w:rsidR="00BC4E13" w:rsidRPr="00BC4E13">
        <w:rPr>
          <w:rFonts w:ascii="Times New Roman" w:hAnsi="Times New Roman" w:cs="Times New Roman"/>
          <w:sz w:val="28"/>
          <w:szCs w:val="28"/>
        </w:rPr>
        <w:t>3.</w:t>
      </w:r>
      <w:r>
        <w:rPr>
          <w:rFonts w:ascii="Times New Roman" w:hAnsi="Times New Roman" w:cs="Times New Roman"/>
          <w:sz w:val="28"/>
          <w:szCs w:val="28"/>
        </w:rPr>
        <w:t xml:space="preserve"> Сумма и количество операций проведенных СБП </w:t>
      </w:r>
      <w:r w:rsidR="00BC4E13" w:rsidRPr="00BC4E13">
        <w:rPr>
          <w:rFonts w:ascii="Times New Roman" w:hAnsi="Times New Roman" w:cs="Times New Roman"/>
          <w:sz w:val="28"/>
          <w:szCs w:val="28"/>
        </w:rPr>
        <w:t>[</w:t>
      </w:r>
      <w:r w:rsidR="00BC4E13">
        <w:rPr>
          <w:rFonts w:ascii="Times New Roman" w:hAnsi="Times New Roman" w:cs="Times New Roman"/>
          <w:sz w:val="28"/>
          <w:szCs w:val="28"/>
        </w:rPr>
        <w:fldChar w:fldCharType="begin"/>
      </w:r>
      <w:r w:rsidR="00BC4E13">
        <w:rPr>
          <w:rFonts w:ascii="Times New Roman" w:hAnsi="Times New Roman" w:cs="Times New Roman"/>
          <w:sz w:val="28"/>
          <w:szCs w:val="28"/>
        </w:rPr>
        <w:instrText xml:space="preserve"> REF _Ref214657330 \r \h  \* MERGEFORMAT </w:instrText>
      </w:r>
      <w:r w:rsidR="00BC4E13">
        <w:rPr>
          <w:rFonts w:ascii="Times New Roman" w:hAnsi="Times New Roman" w:cs="Times New Roman"/>
          <w:sz w:val="28"/>
          <w:szCs w:val="28"/>
        </w:rPr>
      </w:r>
      <w:r w:rsidR="00BC4E13">
        <w:rPr>
          <w:rFonts w:ascii="Times New Roman" w:hAnsi="Times New Roman" w:cs="Times New Roman"/>
          <w:sz w:val="28"/>
          <w:szCs w:val="28"/>
        </w:rPr>
        <w:fldChar w:fldCharType="separate"/>
      </w:r>
      <w:r w:rsidR="00BC4E13">
        <w:rPr>
          <w:rFonts w:ascii="Times New Roman" w:hAnsi="Times New Roman" w:cs="Times New Roman"/>
          <w:sz w:val="28"/>
          <w:szCs w:val="28"/>
        </w:rPr>
        <w:t>5</w:t>
      </w:r>
      <w:r w:rsidR="00BC4E13">
        <w:rPr>
          <w:rFonts w:ascii="Times New Roman" w:hAnsi="Times New Roman" w:cs="Times New Roman"/>
          <w:sz w:val="28"/>
          <w:szCs w:val="28"/>
        </w:rPr>
        <w:fldChar w:fldCharType="end"/>
      </w:r>
      <w:r w:rsidR="00BC4E13" w:rsidRPr="00BC4E13">
        <w:rPr>
          <w:rFonts w:ascii="Times New Roman" w:hAnsi="Times New Roman" w:cs="Times New Roman"/>
          <w:sz w:val="28"/>
          <w:szCs w:val="28"/>
        </w:rPr>
        <w:t>]</w:t>
      </w:r>
    </w:p>
    <w:p w14:paraId="2414DEA8" w14:textId="195EB13E" w:rsidR="0017201A" w:rsidRDefault="003144AF" w:rsidP="003144A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Согласно данным Банка России 70% населения страны регулярно используют СБП для переводов, а каждый второй житель выбирает сервис для оплаты товаров и услуг. Среднесуточная активность пользователей составила 51 млн. операций, что подтверждает устойчивый спрос на мгновенные платежи. </w:t>
      </w:r>
    </w:p>
    <w:p w14:paraId="1A328203" w14:textId="31977D94" w:rsidR="00CE2338" w:rsidRDefault="00CE2338" w:rsidP="00CE233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Переводы между физическими лицами выросли 40-70% к 2024 году, причем 40% таких операций приходится на перечисления между собственными счетами в разных банках. Не менее динамично развиваются организации, так, оплата товара и услуг выросла на 60% по количеству и на 40% по сумме, достигнув 1,3 млрд. операций. Каждая третья транзакция в СБП теперь связана с покупками, а число торговых точек, принимающих платежи, превысило 2,5 млн., из </w:t>
      </w:r>
      <w:proofErr w:type="gramStart"/>
      <w:r>
        <w:rPr>
          <w:rFonts w:ascii="Times New Roman" w:hAnsi="Times New Roman" w:cs="Times New Roman"/>
          <w:sz w:val="28"/>
          <w:szCs w:val="28"/>
        </w:rPr>
        <w:t>который</w:t>
      </w:r>
      <w:proofErr w:type="gramEnd"/>
      <w:r>
        <w:rPr>
          <w:rFonts w:ascii="Times New Roman" w:hAnsi="Times New Roman" w:cs="Times New Roman"/>
          <w:sz w:val="28"/>
          <w:szCs w:val="28"/>
        </w:rPr>
        <w:t xml:space="preserve"> 80% являются малыми и средними предприятиями. </w:t>
      </w:r>
    </w:p>
    <w:p w14:paraId="3397C230" w14:textId="68179442" w:rsidR="00CE2338" w:rsidRPr="00DF0374" w:rsidRDefault="00CE2338" w:rsidP="00CE233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Система быстрых платежей укрепляет позиции как универсальный инструмент для населения и бизнеса, обеспечивая бесперебойную работу, скорость и доступность финансовых услуг в условиях цифровизации в финансовой сфере. </w:t>
      </w:r>
    </w:p>
    <w:p w14:paraId="603C5CFC" w14:textId="3C9C8DE8" w:rsidR="00B05CC5" w:rsidRDefault="00963D93" w:rsidP="003144A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2. Платежная система «Мир». Количество карт платежной системы «Мир» за 2024 г. достигли 314,6 млн. штук, увеличившись за год в 1,5 раза.  Реализованная бесконтактная оплата Мир </w:t>
      </w:r>
      <w:r>
        <w:rPr>
          <w:rFonts w:ascii="Times New Roman" w:hAnsi="Times New Roman" w:cs="Times New Roman"/>
          <w:sz w:val="28"/>
          <w:szCs w:val="28"/>
          <w:lang w:val="en-US"/>
        </w:rPr>
        <w:t>Pay</w:t>
      </w:r>
      <w:r>
        <w:rPr>
          <w:rFonts w:ascii="Times New Roman" w:hAnsi="Times New Roman" w:cs="Times New Roman"/>
          <w:sz w:val="28"/>
          <w:szCs w:val="28"/>
        </w:rPr>
        <w:t xml:space="preserve"> доступна клиентам 176 банков. В 36 регионах реализованы проекты социальных карт, включая виртуальную версию на портале «Госуслуги» для льготников.</w:t>
      </w:r>
    </w:p>
    <w:p w14:paraId="1742D10F" w14:textId="352AE0BD" w:rsidR="00A27936" w:rsidRDefault="00A27936" w:rsidP="00A27936">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3. Единая биометрическая система. В России функционирует Единая биометрическая система (ЕБС), оператором которой с декабря 2022 года выступает АО «Центр Биометрических Технологий». Для удобства граждан разработано мобильное приложение «Госуслуги Биометрия», позволяющее самостоятельно регистрироваться в системе без обязательного использования загранпаспорта. Сегодня через ЕБС можно дистанционно открывать банковские счета и вклады, получать электронную подпись.</w:t>
      </w:r>
    </w:p>
    <w:p w14:paraId="30486C48" w14:textId="39369D9A" w:rsidR="00A27936" w:rsidRDefault="008B411C" w:rsidP="003144A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Цифровой профиль. В 2020 году в тестовом режиме стартовал проект «Цифровой профиль физического лица», который к середине 2024 года представляет пользователям доступ к 38 различным категориям информации. Параллельно в 2023 году была инициирована разработка аналогичного проекта для бизнеса «Цифровой профиль юридического лица», насчитывающих на текущий момент 13 типов доступных сведений. В систему интегрировано свыше 180 кредитных организаций, а количество подтвержденных биометрических за год выросло в 6,6 раза. Число обращений через Цифровой профиль удвоилось за год, а 133 организации активно используют эту платформу для предоставления услуг населению.  </w:t>
      </w:r>
    </w:p>
    <w:p w14:paraId="29B536C9" w14:textId="09EADEFA" w:rsidR="008B411C" w:rsidRDefault="008B411C" w:rsidP="003144A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5.</w:t>
      </w:r>
      <w:r w:rsidR="008E709C">
        <w:rPr>
          <w:rFonts w:ascii="Times New Roman" w:hAnsi="Times New Roman" w:cs="Times New Roman"/>
          <w:sz w:val="28"/>
          <w:szCs w:val="28"/>
        </w:rPr>
        <w:t xml:space="preserve"> </w:t>
      </w:r>
      <w:r w:rsidR="00AA3A20">
        <w:rPr>
          <w:rFonts w:ascii="Times New Roman" w:hAnsi="Times New Roman" w:cs="Times New Roman"/>
          <w:sz w:val="28"/>
          <w:szCs w:val="28"/>
        </w:rPr>
        <w:t xml:space="preserve">Цифровой рубль. </w:t>
      </w:r>
      <w:r w:rsidR="00856B9E">
        <w:rPr>
          <w:rFonts w:ascii="Times New Roman" w:hAnsi="Times New Roman" w:cs="Times New Roman"/>
          <w:sz w:val="28"/>
          <w:szCs w:val="28"/>
        </w:rPr>
        <w:t xml:space="preserve">Важным этапом в цифровизации финансовой системы стала инициатива Банка России, представленной в докладе «Цифровой рубль». По результатам в 2021 году был разработан и обнародован стратегический документ «Концепция цифрового рубля», детально описывающая его структуру, влияние на денежно-кредитное регулирование и поэтапную стратегию внедрения. Параллельно с этим, как сообщал Банк России, развернулись работы по созданию прототипа платформы и подготовке необходимой законодательной базы. В 2023 году после принятия федеральных </w:t>
      </w:r>
      <w:r w:rsidR="00856B9E">
        <w:rPr>
          <w:rFonts w:ascii="Times New Roman" w:hAnsi="Times New Roman" w:cs="Times New Roman"/>
          <w:sz w:val="28"/>
          <w:szCs w:val="28"/>
        </w:rPr>
        <w:lastRenderedPageBreak/>
        <w:t xml:space="preserve">законов №339-ФЗ и №340-ФЗ стартовал ограниченный пилотный проект, в ходе которого тестировались базовые операции. На сегодняшний день платформа значительно эволюционировала. Успешно внедрены динамические </w:t>
      </w:r>
      <w:r w:rsidR="00856B9E">
        <w:rPr>
          <w:rFonts w:ascii="Times New Roman" w:hAnsi="Times New Roman" w:cs="Times New Roman"/>
          <w:sz w:val="28"/>
          <w:szCs w:val="28"/>
          <w:lang w:val="en-US"/>
        </w:rPr>
        <w:t>QR</w:t>
      </w:r>
      <w:r w:rsidR="00856B9E">
        <w:rPr>
          <w:rFonts w:ascii="Times New Roman" w:hAnsi="Times New Roman" w:cs="Times New Roman"/>
          <w:sz w:val="28"/>
          <w:szCs w:val="28"/>
        </w:rPr>
        <w:t xml:space="preserve">-коды, позволяющие совершать оплату </w:t>
      </w:r>
      <w:proofErr w:type="gramStart"/>
      <w:r w:rsidR="00856B9E">
        <w:rPr>
          <w:rFonts w:ascii="Times New Roman" w:hAnsi="Times New Roman" w:cs="Times New Roman"/>
          <w:sz w:val="28"/>
          <w:szCs w:val="28"/>
        </w:rPr>
        <w:t>товаров</w:t>
      </w:r>
      <w:proofErr w:type="gramEnd"/>
      <w:r w:rsidR="00856B9E">
        <w:rPr>
          <w:rFonts w:ascii="Times New Roman" w:hAnsi="Times New Roman" w:cs="Times New Roman"/>
          <w:sz w:val="28"/>
          <w:szCs w:val="28"/>
        </w:rPr>
        <w:t xml:space="preserve"> как в физических точках продаж, так и в онлайн-магазинах, также запущена функция прямых расчетов между предприятиями, что открывает новые горизонты для бизнес-операций в цифровой среде. </w:t>
      </w:r>
    </w:p>
    <w:p w14:paraId="40C77AAD" w14:textId="72FE1A77" w:rsidR="00856B9E" w:rsidRDefault="004B31DC" w:rsidP="003144AF">
      <w:pPr>
        <w:spacing w:after="0" w:line="360" w:lineRule="auto"/>
        <w:ind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Цифровизация определяет направления технологического развития отраслей экономики. </w:t>
      </w:r>
      <w:r w:rsidRPr="004B31DC">
        <w:rPr>
          <w:rFonts w:ascii="Times New Roman" w:hAnsi="Times New Roman" w:cs="Times New Roman"/>
          <w:sz w:val="28"/>
          <w:szCs w:val="28"/>
        </w:rPr>
        <w:t>[</w:t>
      </w:r>
      <w:r w:rsidR="00BC4E13">
        <w:rPr>
          <w:rFonts w:ascii="Times New Roman" w:hAnsi="Times New Roman" w:cs="Times New Roman"/>
          <w:sz w:val="28"/>
          <w:szCs w:val="28"/>
        </w:rPr>
        <w:fldChar w:fldCharType="begin"/>
      </w:r>
      <w:r w:rsidR="00BC4E13">
        <w:rPr>
          <w:rFonts w:ascii="Times New Roman" w:hAnsi="Times New Roman" w:cs="Times New Roman"/>
          <w:sz w:val="28"/>
          <w:szCs w:val="28"/>
        </w:rPr>
        <w:instrText xml:space="preserve"> REF _Ref214657365 \r \h </w:instrText>
      </w:r>
      <w:r w:rsidR="00BC4E13">
        <w:rPr>
          <w:rFonts w:ascii="Times New Roman" w:hAnsi="Times New Roman" w:cs="Times New Roman"/>
          <w:sz w:val="28"/>
          <w:szCs w:val="28"/>
        </w:rPr>
      </w:r>
      <w:r w:rsidR="00BC4E13">
        <w:rPr>
          <w:rFonts w:ascii="Times New Roman" w:hAnsi="Times New Roman" w:cs="Times New Roman"/>
          <w:sz w:val="28"/>
          <w:szCs w:val="28"/>
        </w:rPr>
        <w:fldChar w:fldCharType="separate"/>
      </w:r>
      <w:r w:rsidR="00BC4E13">
        <w:rPr>
          <w:rFonts w:ascii="Times New Roman" w:hAnsi="Times New Roman" w:cs="Times New Roman"/>
          <w:sz w:val="28"/>
          <w:szCs w:val="28"/>
        </w:rPr>
        <w:t>1</w:t>
      </w:r>
      <w:r w:rsidR="00BC4E13">
        <w:rPr>
          <w:rFonts w:ascii="Times New Roman" w:hAnsi="Times New Roman" w:cs="Times New Roman"/>
          <w:sz w:val="28"/>
          <w:szCs w:val="28"/>
        </w:rPr>
        <w:fldChar w:fldCharType="end"/>
      </w:r>
      <w:r w:rsidR="00BC4E13" w:rsidRPr="00BC4E13">
        <w:rPr>
          <w:rFonts w:ascii="Times New Roman" w:hAnsi="Times New Roman" w:cs="Times New Roman"/>
          <w:sz w:val="28"/>
          <w:szCs w:val="28"/>
        </w:rPr>
        <w:t xml:space="preserve">, </w:t>
      </w:r>
      <w:r w:rsidRPr="004B31DC">
        <w:rPr>
          <w:rFonts w:ascii="Times New Roman" w:hAnsi="Times New Roman" w:cs="Times New Roman"/>
          <w:sz w:val="28"/>
          <w:szCs w:val="28"/>
        </w:rPr>
        <w:t>16</w:t>
      </w:r>
      <w:r w:rsidR="00BC4E13" w:rsidRPr="004B31DC">
        <w:rPr>
          <w:rFonts w:ascii="Times New Roman" w:hAnsi="Times New Roman" w:cs="Times New Roman"/>
          <w:sz w:val="28"/>
          <w:szCs w:val="28"/>
        </w:rPr>
        <w:t>]</w:t>
      </w:r>
      <w:r w:rsidR="00BC4E13" w:rsidRPr="00BC4E13">
        <w:rPr>
          <w:rFonts w:ascii="Times New Roman" w:hAnsi="Times New Roman" w:cs="Times New Roman"/>
          <w:sz w:val="28"/>
          <w:szCs w:val="28"/>
        </w:rPr>
        <w:t>, В частности</w:t>
      </w:r>
      <w:r>
        <w:rPr>
          <w:rFonts w:ascii="Times New Roman" w:hAnsi="Times New Roman" w:cs="Times New Roman"/>
          <w:sz w:val="28"/>
          <w:szCs w:val="28"/>
        </w:rPr>
        <w:t xml:space="preserve">, пандемия во время </w:t>
      </w:r>
      <w:r>
        <w:rPr>
          <w:rFonts w:ascii="Times New Roman" w:hAnsi="Times New Roman" w:cs="Times New Roman"/>
          <w:sz w:val="28"/>
          <w:szCs w:val="28"/>
          <w:lang w:val="en-US"/>
        </w:rPr>
        <w:t>COVID</w:t>
      </w:r>
      <w:r w:rsidRPr="004B31DC">
        <w:rPr>
          <w:rFonts w:ascii="Times New Roman" w:hAnsi="Times New Roman" w:cs="Times New Roman"/>
          <w:sz w:val="28"/>
          <w:szCs w:val="28"/>
        </w:rPr>
        <w:t xml:space="preserve">-19 </w:t>
      </w:r>
      <w:r>
        <w:rPr>
          <w:rFonts w:ascii="Times New Roman" w:hAnsi="Times New Roman" w:cs="Times New Roman"/>
          <w:sz w:val="28"/>
          <w:szCs w:val="28"/>
        </w:rPr>
        <w:t xml:space="preserve">создала острую необходимость в цифровизации банковских услуг. </w:t>
      </w:r>
      <w:r w:rsidRPr="004B31DC">
        <w:rPr>
          <w:rFonts w:ascii="Times New Roman" w:hAnsi="Times New Roman" w:cs="Times New Roman"/>
          <w:sz w:val="28"/>
          <w:szCs w:val="28"/>
        </w:rPr>
        <w:t>[</w:t>
      </w:r>
      <w:r w:rsidR="00BC4E13">
        <w:rPr>
          <w:rFonts w:ascii="Times New Roman" w:hAnsi="Times New Roman" w:cs="Times New Roman"/>
          <w:sz w:val="28"/>
          <w:szCs w:val="28"/>
        </w:rPr>
        <w:fldChar w:fldCharType="begin"/>
      </w:r>
      <w:r w:rsidR="00BC4E13">
        <w:rPr>
          <w:rFonts w:ascii="Times New Roman" w:hAnsi="Times New Roman" w:cs="Times New Roman"/>
          <w:sz w:val="28"/>
          <w:szCs w:val="28"/>
        </w:rPr>
        <w:instrText xml:space="preserve"> REF _Ref214657382 \r \h </w:instrText>
      </w:r>
      <w:r w:rsidR="00BC4E13">
        <w:rPr>
          <w:rFonts w:ascii="Times New Roman" w:hAnsi="Times New Roman" w:cs="Times New Roman"/>
          <w:sz w:val="28"/>
          <w:szCs w:val="28"/>
        </w:rPr>
      </w:r>
      <w:r w:rsidR="00BC4E13">
        <w:rPr>
          <w:rFonts w:ascii="Times New Roman" w:hAnsi="Times New Roman" w:cs="Times New Roman"/>
          <w:sz w:val="28"/>
          <w:szCs w:val="28"/>
        </w:rPr>
        <w:fldChar w:fldCharType="separate"/>
      </w:r>
      <w:r w:rsidR="00BC4E13">
        <w:rPr>
          <w:rFonts w:ascii="Times New Roman" w:hAnsi="Times New Roman" w:cs="Times New Roman"/>
          <w:sz w:val="28"/>
          <w:szCs w:val="28"/>
        </w:rPr>
        <w:t>2</w:t>
      </w:r>
      <w:r w:rsidR="00BC4E13">
        <w:rPr>
          <w:rFonts w:ascii="Times New Roman" w:hAnsi="Times New Roman" w:cs="Times New Roman"/>
          <w:sz w:val="28"/>
          <w:szCs w:val="28"/>
        </w:rPr>
        <w:fldChar w:fldCharType="end"/>
      </w:r>
      <w:r w:rsidR="00BC4E13" w:rsidRPr="00BC4E13">
        <w:rPr>
          <w:rFonts w:ascii="Times New Roman" w:hAnsi="Times New Roman" w:cs="Times New Roman"/>
          <w:sz w:val="28"/>
          <w:szCs w:val="28"/>
        </w:rPr>
        <w:t xml:space="preserve">, </w:t>
      </w:r>
      <w:r>
        <w:rPr>
          <w:rFonts w:ascii="Times New Roman" w:hAnsi="Times New Roman" w:cs="Times New Roman"/>
          <w:sz w:val="28"/>
          <w:szCs w:val="28"/>
        </w:rPr>
        <w:t>94</w:t>
      </w:r>
      <w:r w:rsidRPr="004B31DC">
        <w:rPr>
          <w:rFonts w:ascii="Times New Roman" w:hAnsi="Times New Roman" w:cs="Times New Roman"/>
          <w:sz w:val="28"/>
          <w:szCs w:val="28"/>
        </w:rPr>
        <w:t>]</w:t>
      </w:r>
      <w:r>
        <w:rPr>
          <w:rFonts w:ascii="Times New Roman" w:hAnsi="Times New Roman" w:cs="Times New Roman"/>
          <w:sz w:val="28"/>
          <w:szCs w:val="28"/>
        </w:rPr>
        <w:t xml:space="preserve"> </w:t>
      </w:r>
      <w:r w:rsidR="000A0896">
        <w:rPr>
          <w:rFonts w:ascii="Times New Roman" w:hAnsi="Times New Roman" w:cs="Times New Roman"/>
          <w:sz w:val="28"/>
          <w:szCs w:val="28"/>
        </w:rPr>
        <w:t xml:space="preserve">С развитием цифровых технологий банковская сфера </w:t>
      </w:r>
      <w:r w:rsidR="00203D27">
        <w:rPr>
          <w:rFonts w:ascii="Times New Roman" w:hAnsi="Times New Roman" w:cs="Times New Roman"/>
          <w:sz w:val="28"/>
          <w:szCs w:val="28"/>
        </w:rPr>
        <w:t>проявляет переход от частичного внедрения отдельных технологий к целостной стратегии, где безопасность, клиентоориентированность и готовность к будущим изменениям становятся взаимодополняющими элементами.</w:t>
      </w:r>
      <w:proofErr w:type="gramEnd"/>
      <w:r w:rsidR="00203D27">
        <w:rPr>
          <w:rFonts w:ascii="Times New Roman" w:hAnsi="Times New Roman" w:cs="Times New Roman"/>
          <w:sz w:val="28"/>
          <w:szCs w:val="28"/>
        </w:rPr>
        <w:t xml:space="preserve"> Однако для устойчивого развития банковской сферы необходимо снизить зависимость от коротких решений и усилить фокус на долгосрочных проектах. </w:t>
      </w:r>
    </w:p>
    <w:p w14:paraId="67FAE3D0" w14:textId="3D5F88B2" w:rsidR="007B0DAA" w:rsidRDefault="00575DB6" w:rsidP="003144AF">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банковской отрасли оснащенность цифровыми технологиями становится ключевым фактором устойчивости. Приоритетные проекты Банка России такие как, система быстрых платежей, цифровой рубль, цифровой профиль и биометрическая идентификация создают основу для единой цифровой экосистемы финансовых услуг. Однако сохраняются проблемы недостатка централизованных механизмов противодействия мошенничеству, недостаточной регуляторной базы для инноваций. </w:t>
      </w:r>
    </w:p>
    <w:p w14:paraId="56A97AB0" w14:textId="77777777" w:rsidR="00BC4E13" w:rsidRDefault="00BC4E13" w:rsidP="00D47ECB">
      <w:pPr>
        <w:spacing w:after="0" w:line="360" w:lineRule="auto"/>
        <w:ind w:firstLine="567"/>
        <w:rPr>
          <w:rFonts w:ascii="Times New Roman" w:hAnsi="Times New Roman" w:cs="Times New Roman"/>
          <w:sz w:val="28"/>
          <w:szCs w:val="28"/>
        </w:rPr>
      </w:pPr>
    </w:p>
    <w:p w14:paraId="4B38EA0C" w14:textId="7E503CF1" w:rsidR="0069378D" w:rsidRDefault="00BC4E13" w:rsidP="00D47ECB">
      <w:pPr>
        <w:spacing w:after="0" w:line="360" w:lineRule="auto"/>
        <w:ind w:firstLine="567"/>
        <w:rPr>
          <w:rFonts w:ascii="Times New Roman" w:hAnsi="Times New Roman" w:cs="Times New Roman"/>
          <w:sz w:val="28"/>
          <w:szCs w:val="28"/>
        </w:rPr>
      </w:pPr>
      <w:r>
        <w:rPr>
          <w:rFonts w:ascii="Times New Roman" w:hAnsi="Times New Roman" w:cs="Times New Roman"/>
          <w:sz w:val="28"/>
          <w:szCs w:val="28"/>
        </w:rPr>
        <w:t>СПИСОК ЛИТЕРАТУРЫ</w:t>
      </w:r>
    </w:p>
    <w:p w14:paraId="6CDB1DF1" w14:textId="77777777" w:rsidR="004B31DC" w:rsidRDefault="004B31DC"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0" w:name="_Ref214657365"/>
      <w:r w:rsidRPr="004B31DC">
        <w:rPr>
          <w:rFonts w:ascii="Times New Roman" w:hAnsi="Times New Roman" w:cs="Times New Roman"/>
          <w:sz w:val="28"/>
          <w:szCs w:val="28"/>
        </w:rPr>
        <w:t>Ахметшина А.Р., Селиверстов</w:t>
      </w:r>
      <w:bookmarkStart w:id="1" w:name="_GoBack"/>
      <w:bookmarkEnd w:id="1"/>
      <w:r w:rsidRPr="004B31DC">
        <w:rPr>
          <w:rFonts w:ascii="Times New Roman" w:hAnsi="Times New Roman" w:cs="Times New Roman"/>
          <w:sz w:val="28"/>
          <w:szCs w:val="28"/>
        </w:rPr>
        <w:t xml:space="preserve">а Н.С. Некоторые тенденции развития отечественных предприятий: цифровизация и концепция </w:t>
      </w:r>
      <w:r w:rsidRPr="004B31DC">
        <w:rPr>
          <w:rFonts w:ascii="Times New Roman" w:hAnsi="Times New Roman" w:cs="Times New Roman"/>
          <w:sz w:val="28"/>
          <w:szCs w:val="28"/>
          <w:lang w:val="en-US"/>
        </w:rPr>
        <w:t>ESG</w:t>
      </w:r>
      <w:r w:rsidRPr="004B31DC">
        <w:rPr>
          <w:rFonts w:ascii="Times New Roman" w:hAnsi="Times New Roman" w:cs="Times New Roman"/>
          <w:sz w:val="28"/>
          <w:szCs w:val="28"/>
        </w:rPr>
        <w:t xml:space="preserve"> // Вестник Бурятского государственного университета. Экономика и менеджмент. 2023. №3. С. 13-21.</w:t>
      </w:r>
      <w:bookmarkEnd w:id="0"/>
    </w:p>
    <w:p w14:paraId="7AFBA64D" w14:textId="77777777" w:rsidR="004B31DC" w:rsidRDefault="004B31DC"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2" w:name="_Ref214657382"/>
      <w:r w:rsidRPr="004B31DC">
        <w:rPr>
          <w:rFonts w:ascii="Times New Roman" w:hAnsi="Times New Roman" w:cs="Times New Roman"/>
          <w:sz w:val="28"/>
          <w:szCs w:val="28"/>
        </w:rPr>
        <w:lastRenderedPageBreak/>
        <w:t>Баранова, Е. К. Развитие цифровизации в банковской сфере / Е. К. Баранова, А. А. Ахмадуллина // Казанский экономический вестник. – 2023. – № 1(63). – С. 90-97. – EDN KYXGVV.</w:t>
      </w:r>
      <w:bookmarkEnd w:id="2"/>
    </w:p>
    <w:p w14:paraId="3506127C" w14:textId="77777777" w:rsidR="004B31DC" w:rsidRDefault="0069378D"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3" w:name="_Ref214657217"/>
      <w:r w:rsidRPr="004B31DC">
        <w:rPr>
          <w:rFonts w:ascii="Times New Roman" w:hAnsi="Times New Roman" w:cs="Times New Roman"/>
          <w:sz w:val="28"/>
          <w:szCs w:val="28"/>
        </w:rPr>
        <w:t xml:space="preserve">Результаты исследования мнения рынка по вопросам развития финансовых технологий на 2021–2023 гг. </w:t>
      </w:r>
      <w:r w:rsidRPr="004B31DC">
        <w:rPr>
          <w:rFonts w:ascii="Times New Roman" w:hAnsi="Times New Roman" w:cs="Times New Roman"/>
          <w:sz w:val="28"/>
          <w:szCs w:val="28"/>
          <w:lang w:val="en-US"/>
        </w:rPr>
        <w:t>URL</w:t>
      </w:r>
      <w:r w:rsidRPr="004B31DC">
        <w:rPr>
          <w:rFonts w:ascii="Times New Roman" w:hAnsi="Times New Roman" w:cs="Times New Roman"/>
          <w:sz w:val="28"/>
          <w:szCs w:val="28"/>
        </w:rPr>
        <w:t xml:space="preserve">: </w:t>
      </w:r>
      <w:hyperlink r:id="rId12" w:history="1">
        <w:r w:rsidRPr="004B31DC">
          <w:rPr>
            <w:rStyle w:val="ac"/>
            <w:rFonts w:ascii="Times New Roman" w:hAnsi="Times New Roman" w:cs="Times New Roman"/>
            <w:sz w:val="28"/>
            <w:szCs w:val="28"/>
            <w:lang w:val="en-US"/>
          </w:rPr>
          <w:t>https</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www</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fintechru</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org</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press</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center</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issledovaniya</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rezultaty</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issledovaniya</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mneniya</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rynka</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po</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voprosam</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razvitiya</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finansovykh</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tekhnologiy</w:t>
        </w:r>
        <w:r w:rsidRPr="004B31DC">
          <w:rPr>
            <w:rStyle w:val="ac"/>
            <w:rFonts w:ascii="Times New Roman" w:hAnsi="Times New Roman" w:cs="Times New Roman"/>
            <w:sz w:val="28"/>
            <w:szCs w:val="28"/>
          </w:rPr>
          <w:t>-</w:t>
        </w:r>
        <w:r w:rsidRPr="004B31DC">
          <w:rPr>
            <w:rStyle w:val="ac"/>
            <w:rFonts w:ascii="Times New Roman" w:hAnsi="Times New Roman" w:cs="Times New Roman"/>
            <w:sz w:val="28"/>
            <w:szCs w:val="28"/>
            <w:lang w:val="en-US"/>
          </w:rPr>
          <w:t>na</w:t>
        </w:r>
        <w:r w:rsidRPr="004B31DC">
          <w:rPr>
            <w:rStyle w:val="ac"/>
            <w:rFonts w:ascii="Times New Roman" w:hAnsi="Times New Roman" w:cs="Times New Roman"/>
            <w:sz w:val="28"/>
            <w:szCs w:val="28"/>
          </w:rPr>
          <w:t>-2021-2023-</w:t>
        </w:r>
        <w:r w:rsidRPr="004B31DC">
          <w:rPr>
            <w:rStyle w:val="ac"/>
            <w:rFonts w:ascii="Times New Roman" w:hAnsi="Times New Roman" w:cs="Times New Roman"/>
            <w:sz w:val="28"/>
            <w:szCs w:val="28"/>
            <w:lang w:val="en-US"/>
          </w:rPr>
          <w:t>gg</w:t>
        </w:r>
        <w:r w:rsidRPr="004B31DC">
          <w:rPr>
            <w:rStyle w:val="ac"/>
            <w:rFonts w:ascii="Times New Roman" w:hAnsi="Times New Roman" w:cs="Times New Roman"/>
            <w:sz w:val="28"/>
            <w:szCs w:val="28"/>
          </w:rPr>
          <w:t>/</w:t>
        </w:r>
      </w:hyperlink>
      <w:r w:rsidRPr="004B31DC">
        <w:rPr>
          <w:rFonts w:ascii="Times New Roman" w:hAnsi="Times New Roman" w:cs="Times New Roman"/>
          <w:sz w:val="28"/>
          <w:szCs w:val="28"/>
        </w:rPr>
        <w:t xml:space="preserve"> (дата обращения 05.10.2025 г.)</w:t>
      </w:r>
      <w:bookmarkEnd w:id="3"/>
    </w:p>
    <w:p w14:paraId="3B5B1449" w14:textId="77777777" w:rsidR="004B31DC" w:rsidRDefault="0069378D"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4" w:name="_Ref214657308"/>
      <w:r w:rsidRPr="004B31DC">
        <w:rPr>
          <w:rFonts w:ascii="Times New Roman" w:hAnsi="Times New Roman" w:cs="Times New Roman"/>
          <w:sz w:val="28"/>
          <w:szCs w:val="28"/>
        </w:rPr>
        <w:t xml:space="preserve">Исследование цифровой зрелости розничных банков в 2024 г. </w:t>
      </w:r>
      <w:r w:rsidRPr="004B31DC">
        <w:rPr>
          <w:rFonts w:ascii="Times New Roman" w:hAnsi="Times New Roman" w:cs="Times New Roman"/>
          <w:sz w:val="28"/>
          <w:szCs w:val="28"/>
          <w:lang w:val="en-US"/>
        </w:rPr>
        <w:t>URL</w:t>
      </w:r>
      <w:r w:rsidRPr="004B31DC">
        <w:rPr>
          <w:rFonts w:ascii="Times New Roman" w:hAnsi="Times New Roman" w:cs="Times New Roman"/>
          <w:sz w:val="28"/>
          <w:szCs w:val="28"/>
        </w:rPr>
        <w:t xml:space="preserve">: </w:t>
      </w:r>
      <w:hyperlink r:id="rId13" w:history="1">
        <w:r w:rsidRPr="004B31DC">
          <w:rPr>
            <w:rStyle w:val="ac"/>
            <w:rFonts w:ascii="Times New Roman" w:hAnsi="Times New Roman" w:cs="Times New Roman"/>
            <w:sz w:val="28"/>
            <w:szCs w:val="28"/>
          </w:rPr>
          <w:t>https://sdi360.ru/banks24</w:t>
        </w:r>
      </w:hyperlink>
      <w:r w:rsidRPr="004B31DC">
        <w:rPr>
          <w:rFonts w:ascii="Times New Roman" w:hAnsi="Times New Roman" w:cs="Times New Roman"/>
          <w:sz w:val="28"/>
          <w:szCs w:val="28"/>
        </w:rPr>
        <w:t xml:space="preserve"> (дата обращения 15.10.</w:t>
      </w:r>
      <w:r w:rsidR="007B0DAA" w:rsidRPr="004B31DC">
        <w:rPr>
          <w:rFonts w:ascii="Times New Roman" w:hAnsi="Times New Roman" w:cs="Times New Roman"/>
          <w:sz w:val="28"/>
          <w:szCs w:val="28"/>
        </w:rPr>
        <w:t>2025 г.)</w:t>
      </w:r>
      <w:bookmarkEnd w:id="4"/>
    </w:p>
    <w:p w14:paraId="3D8CCBEF" w14:textId="77777777" w:rsidR="004B31DC" w:rsidRDefault="007B0DAA"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5" w:name="_Ref214657330"/>
      <w:r w:rsidRPr="004B31DC">
        <w:rPr>
          <w:rFonts w:ascii="Times New Roman" w:hAnsi="Times New Roman" w:cs="Times New Roman"/>
          <w:sz w:val="28"/>
          <w:szCs w:val="28"/>
        </w:rPr>
        <w:t>СБП: основные показатели [Электронный ресурс] // Официальный сайт Центрального банка Российской Федерации. - 2025. - URL: https://cbr.ru/analytics/nps/sbp/2_2025/ (дата обращения: 11.11.2025)</w:t>
      </w:r>
      <w:bookmarkEnd w:id="5"/>
    </w:p>
    <w:p w14:paraId="738DCC22" w14:textId="31C0691A" w:rsidR="007B0DAA" w:rsidRPr="004B31DC" w:rsidRDefault="007B0DAA" w:rsidP="004B31DC">
      <w:pPr>
        <w:pStyle w:val="a7"/>
        <w:numPr>
          <w:ilvl w:val="0"/>
          <w:numId w:val="4"/>
        </w:numPr>
        <w:spacing w:after="0" w:line="360" w:lineRule="auto"/>
        <w:ind w:left="0" w:firstLine="567"/>
        <w:jc w:val="both"/>
        <w:rPr>
          <w:rFonts w:ascii="Times New Roman" w:hAnsi="Times New Roman" w:cs="Times New Roman"/>
          <w:sz w:val="28"/>
          <w:szCs w:val="28"/>
        </w:rPr>
      </w:pPr>
      <w:bookmarkStart w:id="6" w:name="_Ref214657322"/>
      <w:r w:rsidRPr="004B31DC">
        <w:rPr>
          <w:rFonts w:ascii="Times New Roman" w:hAnsi="Times New Roman" w:cs="Times New Roman"/>
          <w:sz w:val="28"/>
          <w:szCs w:val="28"/>
        </w:rPr>
        <w:t>Основные направления развития финансовых технологий на период 2025-2027 годов [Электронный ресурс] // Официальный сайт Центрального банка Российской Федерации. - 2024. - URL: https://cbr.ru/analytics/nps/sbp/2_2025/ (дата обращения: 13.11.2025)</w:t>
      </w:r>
      <w:bookmarkEnd w:id="6"/>
    </w:p>
    <w:p w14:paraId="68E18EEA" w14:textId="77777777" w:rsidR="004B31DC" w:rsidRPr="007B0DAA" w:rsidRDefault="004B31DC" w:rsidP="004B31DC">
      <w:pPr>
        <w:spacing w:after="0" w:line="360" w:lineRule="auto"/>
        <w:ind w:firstLine="567"/>
        <w:jc w:val="both"/>
        <w:rPr>
          <w:rFonts w:ascii="Times New Roman" w:hAnsi="Times New Roman" w:cs="Times New Roman"/>
          <w:sz w:val="28"/>
          <w:szCs w:val="28"/>
        </w:rPr>
      </w:pPr>
    </w:p>
    <w:sectPr w:rsidR="004B31DC" w:rsidRPr="007B0DAA" w:rsidSect="004C6D8B">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D531ED" w14:textId="77777777" w:rsidR="00435891" w:rsidRDefault="00435891" w:rsidP="007F0E5A">
      <w:pPr>
        <w:spacing w:after="0" w:line="240" w:lineRule="auto"/>
      </w:pPr>
      <w:r>
        <w:separator/>
      </w:r>
    </w:p>
  </w:endnote>
  <w:endnote w:type="continuationSeparator" w:id="0">
    <w:p w14:paraId="74E5871F" w14:textId="77777777" w:rsidR="00435891" w:rsidRDefault="00435891" w:rsidP="007F0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30860B" w14:textId="77777777" w:rsidR="00435891" w:rsidRDefault="00435891" w:rsidP="007F0E5A">
      <w:pPr>
        <w:spacing w:after="0" w:line="240" w:lineRule="auto"/>
      </w:pPr>
      <w:r>
        <w:separator/>
      </w:r>
    </w:p>
  </w:footnote>
  <w:footnote w:type="continuationSeparator" w:id="0">
    <w:p w14:paraId="4DD72481" w14:textId="77777777" w:rsidR="00435891" w:rsidRDefault="00435891" w:rsidP="007F0E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C390F"/>
    <w:multiLevelType w:val="hybridMultilevel"/>
    <w:tmpl w:val="D4B6D542"/>
    <w:lvl w:ilvl="0" w:tplc="D430AD9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98B14C8"/>
    <w:multiLevelType w:val="hybridMultilevel"/>
    <w:tmpl w:val="8306F346"/>
    <w:lvl w:ilvl="0" w:tplc="3044284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3AE5106E"/>
    <w:multiLevelType w:val="hybridMultilevel"/>
    <w:tmpl w:val="B08EAD1A"/>
    <w:lvl w:ilvl="0" w:tplc="4F8AB71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54CD172D"/>
    <w:multiLevelType w:val="hybridMultilevel"/>
    <w:tmpl w:val="65F292BA"/>
    <w:lvl w:ilvl="0" w:tplc="C93EFC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activeWritingStyle w:appName="MSWord" w:lang="ru-RU" w:vendorID="64" w:dllVersion="0" w:nlCheck="1" w:checkStyle="0"/>
  <w:activeWritingStyle w:appName="MSWord" w:lang="en-US" w:vendorID="64" w:dllVersion="0" w:nlCheck="1" w:checkStyle="0"/>
  <w:activeWritingStyle w:appName="MSWord" w:lang="en-US" w:vendorID="64" w:dllVersion="131078" w:nlCheck="1" w:checkStyle="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D8B"/>
    <w:rsid w:val="00025BFE"/>
    <w:rsid w:val="00027F88"/>
    <w:rsid w:val="000950B1"/>
    <w:rsid w:val="000A0896"/>
    <w:rsid w:val="000A4BA3"/>
    <w:rsid w:val="000D46BE"/>
    <w:rsid w:val="000E3119"/>
    <w:rsid w:val="00120DE0"/>
    <w:rsid w:val="0017201A"/>
    <w:rsid w:val="00203D27"/>
    <w:rsid w:val="00214B70"/>
    <w:rsid w:val="00283D6F"/>
    <w:rsid w:val="003144AF"/>
    <w:rsid w:val="0037342B"/>
    <w:rsid w:val="00435891"/>
    <w:rsid w:val="004B31DC"/>
    <w:rsid w:val="004B6B6F"/>
    <w:rsid w:val="004C6D8B"/>
    <w:rsid w:val="004F719F"/>
    <w:rsid w:val="00500732"/>
    <w:rsid w:val="005414C6"/>
    <w:rsid w:val="00575DB6"/>
    <w:rsid w:val="00594DC2"/>
    <w:rsid w:val="005B0953"/>
    <w:rsid w:val="0069378D"/>
    <w:rsid w:val="006B4CCC"/>
    <w:rsid w:val="006C6D91"/>
    <w:rsid w:val="00771B44"/>
    <w:rsid w:val="007B0DAA"/>
    <w:rsid w:val="007D788A"/>
    <w:rsid w:val="007F00E5"/>
    <w:rsid w:val="007F0E5A"/>
    <w:rsid w:val="00856B9E"/>
    <w:rsid w:val="008B411C"/>
    <w:rsid w:val="008D6FE1"/>
    <w:rsid w:val="008E709C"/>
    <w:rsid w:val="009513DA"/>
    <w:rsid w:val="00963D93"/>
    <w:rsid w:val="00A06771"/>
    <w:rsid w:val="00A27936"/>
    <w:rsid w:val="00A34662"/>
    <w:rsid w:val="00A81C06"/>
    <w:rsid w:val="00AA3A20"/>
    <w:rsid w:val="00B05CC5"/>
    <w:rsid w:val="00B5293E"/>
    <w:rsid w:val="00B82360"/>
    <w:rsid w:val="00BC4E13"/>
    <w:rsid w:val="00BD4A05"/>
    <w:rsid w:val="00BE7BFC"/>
    <w:rsid w:val="00C13693"/>
    <w:rsid w:val="00C165DB"/>
    <w:rsid w:val="00C35450"/>
    <w:rsid w:val="00CE2338"/>
    <w:rsid w:val="00D47ECB"/>
    <w:rsid w:val="00D56690"/>
    <w:rsid w:val="00DF0374"/>
    <w:rsid w:val="00E03D31"/>
    <w:rsid w:val="00E76E2D"/>
    <w:rsid w:val="00F96DD0"/>
    <w:rsid w:val="00FC31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9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C6D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4C6D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C6D8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4C6D8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4C6D8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C6D8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C6D8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C6D8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C6D8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6D8B"/>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4C6D8B"/>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4C6D8B"/>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4C6D8B"/>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4C6D8B"/>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4C6D8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C6D8B"/>
    <w:rPr>
      <w:rFonts w:eastAsiaTheme="majorEastAsia" w:cstheme="majorBidi"/>
      <w:color w:val="595959" w:themeColor="text1" w:themeTint="A6"/>
    </w:rPr>
  </w:style>
  <w:style w:type="character" w:customStyle="1" w:styleId="80">
    <w:name w:val="Заголовок 8 Знак"/>
    <w:basedOn w:val="a0"/>
    <w:link w:val="8"/>
    <w:uiPriority w:val="9"/>
    <w:semiHidden/>
    <w:rsid w:val="004C6D8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C6D8B"/>
    <w:rPr>
      <w:rFonts w:eastAsiaTheme="majorEastAsia" w:cstheme="majorBidi"/>
      <w:color w:val="272727" w:themeColor="text1" w:themeTint="D8"/>
    </w:rPr>
  </w:style>
  <w:style w:type="paragraph" w:styleId="a3">
    <w:name w:val="Title"/>
    <w:basedOn w:val="a"/>
    <w:next w:val="a"/>
    <w:link w:val="a4"/>
    <w:uiPriority w:val="10"/>
    <w:qFormat/>
    <w:rsid w:val="004C6D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4C6D8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C6D8B"/>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C6D8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C6D8B"/>
    <w:pPr>
      <w:spacing w:before="160"/>
      <w:jc w:val="center"/>
    </w:pPr>
    <w:rPr>
      <w:i/>
      <w:iCs/>
      <w:color w:val="404040" w:themeColor="text1" w:themeTint="BF"/>
    </w:rPr>
  </w:style>
  <w:style w:type="character" w:customStyle="1" w:styleId="22">
    <w:name w:val="Цитата 2 Знак"/>
    <w:basedOn w:val="a0"/>
    <w:link w:val="21"/>
    <w:uiPriority w:val="29"/>
    <w:rsid w:val="004C6D8B"/>
    <w:rPr>
      <w:i/>
      <w:iCs/>
      <w:color w:val="404040" w:themeColor="text1" w:themeTint="BF"/>
    </w:rPr>
  </w:style>
  <w:style w:type="paragraph" w:styleId="a7">
    <w:name w:val="List Paragraph"/>
    <w:basedOn w:val="a"/>
    <w:uiPriority w:val="34"/>
    <w:qFormat/>
    <w:rsid w:val="004C6D8B"/>
    <w:pPr>
      <w:ind w:left="720"/>
      <w:contextualSpacing/>
    </w:pPr>
  </w:style>
  <w:style w:type="character" w:styleId="a8">
    <w:name w:val="Intense Emphasis"/>
    <w:basedOn w:val="a0"/>
    <w:uiPriority w:val="21"/>
    <w:qFormat/>
    <w:rsid w:val="004C6D8B"/>
    <w:rPr>
      <w:i/>
      <w:iCs/>
      <w:color w:val="0F4761" w:themeColor="accent1" w:themeShade="BF"/>
    </w:rPr>
  </w:style>
  <w:style w:type="paragraph" w:styleId="a9">
    <w:name w:val="Intense Quote"/>
    <w:basedOn w:val="a"/>
    <w:next w:val="a"/>
    <w:link w:val="aa"/>
    <w:uiPriority w:val="30"/>
    <w:qFormat/>
    <w:rsid w:val="004C6D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4C6D8B"/>
    <w:rPr>
      <w:i/>
      <w:iCs/>
      <w:color w:val="0F4761" w:themeColor="accent1" w:themeShade="BF"/>
    </w:rPr>
  </w:style>
  <w:style w:type="character" w:styleId="ab">
    <w:name w:val="Intense Reference"/>
    <w:basedOn w:val="a0"/>
    <w:uiPriority w:val="32"/>
    <w:qFormat/>
    <w:rsid w:val="004C6D8B"/>
    <w:rPr>
      <w:b/>
      <w:bCs/>
      <w:smallCaps/>
      <w:color w:val="0F4761" w:themeColor="accent1" w:themeShade="BF"/>
      <w:spacing w:val="5"/>
    </w:rPr>
  </w:style>
  <w:style w:type="character" w:styleId="ac">
    <w:name w:val="Hyperlink"/>
    <w:basedOn w:val="a0"/>
    <w:uiPriority w:val="99"/>
    <w:unhideWhenUsed/>
    <w:rsid w:val="004C6D8B"/>
    <w:rPr>
      <w:color w:val="467886" w:themeColor="hyperlink"/>
      <w:u w:val="single"/>
    </w:rPr>
  </w:style>
  <w:style w:type="character" w:customStyle="1" w:styleId="UnresolvedMention">
    <w:name w:val="Unresolved Mention"/>
    <w:basedOn w:val="a0"/>
    <w:uiPriority w:val="99"/>
    <w:semiHidden/>
    <w:unhideWhenUsed/>
    <w:rsid w:val="004C6D8B"/>
    <w:rPr>
      <w:color w:val="605E5C"/>
      <w:shd w:val="clear" w:color="auto" w:fill="E1DFDD"/>
    </w:rPr>
  </w:style>
  <w:style w:type="table" w:styleId="ad">
    <w:name w:val="Table Grid"/>
    <w:basedOn w:val="a1"/>
    <w:uiPriority w:val="39"/>
    <w:rsid w:val="000E31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7F0E5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7F0E5A"/>
  </w:style>
  <w:style w:type="paragraph" w:styleId="af0">
    <w:name w:val="footer"/>
    <w:basedOn w:val="a"/>
    <w:link w:val="af1"/>
    <w:uiPriority w:val="99"/>
    <w:unhideWhenUsed/>
    <w:rsid w:val="007F0E5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7F0E5A"/>
  </w:style>
  <w:style w:type="paragraph" w:styleId="af2">
    <w:name w:val="Balloon Text"/>
    <w:basedOn w:val="a"/>
    <w:link w:val="af3"/>
    <w:uiPriority w:val="99"/>
    <w:semiHidden/>
    <w:unhideWhenUsed/>
    <w:rsid w:val="005414C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5414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C6D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4C6D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C6D8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4C6D8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4C6D8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4C6D8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C6D8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C6D8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C6D8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6D8B"/>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4C6D8B"/>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4C6D8B"/>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4C6D8B"/>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4C6D8B"/>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4C6D8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C6D8B"/>
    <w:rPr>
      <w:rFonts w:eastAsiaTheme="majorEastAsia" w:cstheme="majorBidi"/>
      <w:color w:val="595959" w:themeColor="text1" w:themeTint="A6"/>
    </w:rPr>
  </w:style>
  <w:style w:type="character" w:customStyle="1" w:styleId="80">
    <w:name w:val="Заголовок 8 Знак"/>
    <w:basedOn w:val="a0"/>
    <w:link w:val="8"/>
    <w:uiPriority w:val="9"/>
    <w:semiHidden/>
    <w:rsid w:val="004C6D8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C6D8B"/>
    <w:rPr>
      <w:rFonts w:eastAsiaTheme="majorEastAsia" w:cstheme="majorBidi"/>
      <w:color w:val="272727" w:themeColor="text1" w:themeTint="D8"/>
    </w:rPr>
  </w:style>
  <w:style w:type="paragraph" w:styleId="a3">
    <w:name w:val="Title"/>
    <w:basedOn w:val="a"/>
    <w:next w:val="a"/>
    <w:link w:val="a4"/>
    <w:uiPriority w:val="10"/>
    <w:qFormat/>
    <w:rsid w:val="004C6D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4C6D8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C6D8B"/>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C6D8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C6D8B"/>
    <w:pPr>
      <w:spacing w:before="160"/>
      <w:jc w:val="center"/>
    </w:pPr>
    <w:rPr>
      <w:i/>
      <w:iCs/>
      <w:color w:val="404040" w:themeColor="text1" w:themeTint="BF"/>
    </w:rPr>
  </w:style>
  <w:style w:type="character" w:customStyle="1" w:styleId="22">
    <w:name w:val="Цитата 2 Знак"/>
    <w:basedOn w:val="a0"/>
    <w:link w:val="21"/>
    <w:uiPriority w:val="29"/>
    <w:rsid w:val="004C6D8B"/>
    <w:rPr>
      <w:i/>
      <w:iCs/>
      <w:color w:val="404040" w:themeColor="text1" w:themeTint="BF"/>
    </w:rPr>
  </w:style>
  <w:style w:type="paragraph" w:styleId="a7">
    <w:name w:val="List Paragraph"/>
    <w:basedOn w:val="a"/>
    <w:uiPriority w:val="34"/>
    <w:qFormat/>
    <w:rsid w:val="004C6D8B"/>
    <w:pPr>
      <w:ind w:left="720"/>
      <w:contextualSpacing/>
    </w:pPr>
  </w:style>
  <w:style w:type="character" w:styleId="a8">
    <w:name w:val="Intense Emphasis"/>
    <w:basedOn w:val="a0"/>
    <w:uiPriority w:val="21"/>
    <w:qFormat/>
    <w:rsid w:val="004C6D8B"/>
    <w:rPr>
      <w:i/>
      <w:iCs/>
      <w:color w:val="0F4761" w:themeColor="accent1" w:themeShade="BF"/>
    </w:rPr>
  </w:style>
  <w:style w:type="paragraph" w:styleId="a9">
    <w:name w:val="Intense Quote"/>
    <w:basedOn w:val="a"/>
    <w:next w:val="a"/>
    <w:link w:val="aa"/>
    <w:uiPriority w:val="30"/>
    <w:qFormat/>
    <w:rsid w:val="004C6D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4C6D8B"/>
    <w:rPr>
      <w:i/>
      <w:iCs/>
      <w:color w:val="0F4761" w:themeColor="accent1" w:themeShade="BF"/>
    </w:rPr>
  </w:style>
  <w:style w:type="character" w:styleId="ab">
    <w:name w:val="Intense Reference"/>
    <w:basedOn w:val="a0"/>
    <w:uiPriority w:val="32"/>
    <w:qFormat/>
    <w:rsid w:val="004C6D8B"/>
    <w:rPr>
      <w:b/>
      <w:bCs/>
      <w:smallCaps/>
      <w:color w:val="0F4761" w:themeColor="accent1" w:themeShade="BF"/>
      <w:spacing w:val="5"/>
    </w:rPr>
  </w:style>
  <w:style w:type="character" w:styleId="ac">
    <w:name w:val="Hyperlink"/>
    <w:basedOn w:val="a0"/>
    <w:uiPriority w:val="99"/>
    <w:unhideWhenUsed/>
    <w:rsid w:val="004C6D8B"/>
    <w:rPr>
      <w:color w:val="467886" w:themeColor="hyperlink"/>
      <w:u w:val="single"/>
    </w:rPr>
  </w:style>
  <w:style w:type="character" w:customStyle="1" w:styleId="UnresolvedMention">
    <w:name w:val="Unresolved Mention"/>
    <w:basedOn w:val="a0"/>
    <w:uiPriority w:val="99"/>
    <w:semiHidden/>
    <w:unhideWhenUsed/>
    <w:rsid w:val="004C6D8B"/>
    <w:rPr>
      <w:color w:val="605E5C"/>
      <w:shd w:val="clear" w:color="auto" w:fill="E1DFDD"/>
    </w:rPr>
  </w:style>
  <w:style w:type="table" w:styleId="ad">
    <w:name w:val="Table Grid"/>
    <w:basedOn w:val="a1"/>
    <w:uiPriority w:val="39"/>
    <w:rsid w:val="000E31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7F0E5A"/>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7F0E5A"/>
  </w:style>
  <w:style w:type="paragraph" w:styleId="af0">
    <w:name w:val="footer"/>
    <w:basedOn w:val="a"/>
    <w:link w:val="af1"/>
    <w:uiPriority w:val="99"/>
    <w:unhideWhenUsed/>
    <w:rsid w:val="007F0E5A"/>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7F0E5A"/>
  </w:style>
  <w:style w:type="paragraph" w:styleId="af2">
    <w:name w:val="Balloon Text"/>
    <w:basedOn w:val="a"/>
    <w:link w:val="af3"/>
    <w:uiPriority w:val="99"/>
    <w:semiHidden/>
    <w:unhideWhenUsed/>
    <w:rsid w:val="005414C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5414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di360.ru/banks24"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fintechru.org/press-center/issledovaniya/rezultaty-issledovaniya-mneniya-rynka-po-voprosam-razvitiya-finansovykh-tekhnologiy-na-2021-2023-g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Лист1!$B$1</c:f>
              <c:strCache>
                <c:ptCount val="1"/>
                <c:pt idx="0">
                  <c:v>Технология используется на постоянной основе</c:v>
                </c:pt>
              </c:strCache>
            </c:strRef>
          </c:tx>
          <c:spPr>
            <a:solidFill>
              <a:schemeClr val="accent3">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Лист1!$A$2:$A$14</c:f>
              <c:strCache>
                <c:ptCount val="13"/>
                <c:pt idx="0">
                  <c:v>Мобильные интерфейсы </c:v>
                </c:pt>
                <c:pt idx="1">
                  <c:v>Корпоративное хранилище данных</c:v>
                </c:pt>
                <c:pt idx="2">
                  <c:v>Облачные технологии</c:v>
                </c:pt>
                <c:pt idx="3">
                  <c:v>Партнерские API</c:v>
                </c:pt>
                <c:pt idx="4">
                  <c:v>Анализ больших данных </c:v>
                </c:pt>
                <c:pt idx="5">
                  <c:v>Роботизация процессов (RPA)</c:v>
                </c:pt>
                <c:pt idx="6">
                  <c:v>Когнитивные технологии с ИИ</c:v>
                </c:pt>
                <c:pt idx="7">
                  <c:v>Машинное обучение (ML)</c:v>
                </c:pt>
                <c:pt idx="8">
                  <c:v>Биометрические технологии </c:v>
                </c:pt>
                <c:pt idx="9">
                  <c:v>Технология распределения реестра (блокчейн)</c:v>
                </c:pt>
                <c:pt idx="10">
                  <c:v>Интернет вещей</c:v>
                </c:pt>
                <c:pt idx="11">
                  <c:v>Квантовые вычисления</c:v>
                </c:pt>
                <c:pt idx="12">
                  <c:v>Расширенная реальность (AR/VR)</c:v>
                </c:pt>
              </c:strCache>
            </c:strRef>
          </c:cat>
          <c:val>
            <c:numRef>
              <c:f>Лист1!$B$2:$B$14</c:f>
              <c:numCache>
                <c:formatCode>General</c:formatCode>
                <c:ptCount val="13"/>
                <c:pt idx="0">
                  <c:v>96</c:v>
                </c:pt>
                <c:pt idx="1">
                  <c:v>91</c:v>
                </c:pt>
                <c:pt idx="2">
                  <c:v>57</c:v>
                </c:pt>
                <c:pt idx="3">
                  <c:v>73</c:v>
                </c:pt>
                <c:pt idx="4">
                  <c:v>83</c:v>
                </c:pt>
                <c:pt idx="5">
                  <c:v>73</c:v>
                </c:pt>
                <c:pt idx="6">
                  <c:v>59</c:v>
                </c:pt>
                <c:pt idx="7">
                  <c:v>55</c:v>
                </c:pt>
                <c:pt idx="8">
                  <c:v>43</c:v>
                </c:pt>
                <c:pt idx="9">
                  <c:v>9</c:v>
                </c:pt>
                <c:pt idx="10">
                  <c:v>5</c:v>
                </c:pt>
              </c:numCache>
            </c:numRef>
          </c:val>
          <c:extLst xmlns:c16r2="http://schemas.microsoft.com/office/drawing/2015/06/chart">
            <c:ext xmlns:c16="http://schemas.microsoft.com/office/drawing/2014/chart" uri="{C3380CC4-5D6E-409C-BE32-E72D297353CC}">
              <c16:uniqueId val="{00000000-851C-4C21-B2BD-C36D1E5CE622}"/>
            </c:ext>
          </c:extLst>
        </c:ser>
        <c:ser>
          <c:idx val="1"/>
          <c:order val="1"/>
          <c:tx>
            <c:strRef>
              <c:f>Лист1!$C$1</c:f>
              <c:strCache>
                <c:ptCount val="1"/>
                <c:pt idx="0">
                  <c:v>Пилотный проект</c:v>
                </c:pt>
              </c:strCache>
            </c:strRef>
          </c:tx>
          <c:spPr>
            <a:solidFill>
              <a:schemeClr val="accent5">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Лист1!$A$2:$A$14</c:f>
              <c:strCache>
                <c:ptCount val="13"/>
                <c:pt idx="0">
                  <c:v>Мобильные интерфейсы </c:v>
                </c:pt>
                <c:pt idx="1">
                  <c:v>Корпоративное хранилище данных</c:v>
                </c:pt>
                <c:pt idx="2">
                  <c:v>Облачные технологии</c:v>
                </c:pt>
                <c:pt idx="3">
                  <c:v>Партнерские API</c:v>
                </c:pt>
                <c:pt idx="4">
                  <c:v>Анализ больших данных </c:v>
                </c:pt>
                <c:pt idx="5">
                  <c:v>Роботизация процессов (RPA)</c:v>
                </c:pt>
                <c:pt idx="6">
                  <c:v>Когнитивные технологии с ИИ</c:v>
                </c:pt>
                <c:pt idx="7">
                  <c:v>Машинное обучение (ML)</c:v>
                </c:pt>
                <c:pt idx="8">
                  <c:v>Биометрические технологии </c:v>
                </c:pt>
                <c:pt idx="9">
                  <c:v>Технология распределения реестра (блокчейн)</c:v>
                </c:pt>
                <c:pt idx="10">
                  <c:v>Интернет вещей</c:v>
                </c:pt>
                <c:pt idx="11">
                  <c:v>Квантовые вычисления</c:v>
                </c:pt>
                <c:pt idx="12">
                  <c:v>Расширенная реальность (AR/VR)</c:v>
                </c:pt>
              </c:strCache>
            </c:strRef>
          </c:cat>
          <c:val>
            <c:numRef>
              <c:f>Лист1!$C$2:$C$14</c:f>
              <c:numCache>
                <c:formatCode>General</c:formatCode>
                <c:ptCount val="13"/>
                <c:pt idx="0">
                  <c:v>4</c:v>
                </c:pt>
                <c:pt idx="1">
                  <c:v>4</c:v>
                </c:pt>
                <c:pt idx="2">
                  <c:v>22</c:v>
                </c:pt>
                <c:pt idx="3">
                  <c:v>14</c:v>
                </c:pt>
                <c:pt idx="4">
                  <c:v>13</c:v>
                </c:pt>
                <c:pt idx="5">
                  <c:v>18</c:v>
                </c:pt>
                <c:pt idx="6">
                  <c:v>27</c:v>
                </c:pt>
                <c:pt idx="7">
                  <c:v>27</c:v>
                </c:pt>
                <c:pt idx="8">
                  <c:v>17</c:v>
                </c:pt>
                <c:pt idx="9">
                  <c:v>9</c:v>
                </c:pt>
                <c:pt idx="10">
                  <c:v>4</c:v>
                </c:pt>
                <c:pt idx="11">
                  <c:v>5</c:v>
                </c:pt>
                <c:pt idx="12">
                  <c:v>9</c:v>
                </c:pt>
              </c:numCache>
            </c:numRef>
          </c:val>
          <c:extLst xmlns:c16r2="http://schemas.microsoft.com/office/drawing/2015/06/chart">
            <c:ext xmlns:c16="http://schemas.microsoft.com/office/drawing/2014/chart" uri="{C3380CC4-5D6E-409C-BE32-E72D297353CC}">
              <c16:uniqueId val="{00000001-851C-4C21-B2BD-C36D1E5CE622}"/>
            </c:ext>
          </c:extLst>
        </c:ser>
        <c:ser>
          <c:idx val="2"/>
          <c:order val="2"/>
          <c:tx>
            <c:strRef>
              <c:f>Лист1!$D$1</c:f>
              <c:strCache>
                <c:ptCount val="1"/>
                <c:pt idx="0">
                  <c:v>Запланирована реализация пилотного проекта</c:v>
                </c:pt>
              </c:strCache>
            </c:strRef>
          </c:tx>
          <c:spPr>
            <a:solidFill>
              <a:schemeClr val="bg2">
                <a:lumMod val="5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Лист1!$A$2:$A$14</c:f>
              <c:strCache>
                <c:ptCount val="13"/>
                <c:pt idx="0">
                  <c:v>Мобильные интерфейсы </c:v>
                </c:pt>
                <c:pt idx="1">
                  <c:v>Корпоративное хранилище данных</c:v>
                </c:pt>
                <c:pt idx="2">
                  <c:v>Облачные технологии</c:v>
                </c:pt>
                <c:pt idx="3">
                  <c:v>Партнерские API</c:v>
                </c:pt>
                <c:pt idx="4">
                  <c:v>Анализ больших данных </c:v>
                </c:pt>
                <c:pt idx="5">
                  <c:v>Роботизация процессов (RPA)</c:v>
                </c:pt>
                <c:pt idx="6">
                  <c:v>Когнитивные технологии с ИИ</c:v>
                </c:pt>
                <c:pt idx="7">
                  <c:v>Машинное обучение (ML)</c:v>
                </c:pt>
                <c:pt idx="8">
                  <c:v>Биометрические технологии </c:v>
                </c:pt>
                <c:pt idx="9">
                  <c:v>Технология распределения реестра (блокчейн)</c:v>
                </c:pt>
                <c:pt idx="10">
                  <c:v>Интернет вещей</c:v>
                </c:pt>
                <c:pt idx="11">
                  <c:v>Квантовые вычисления</c:v>
                </c:pt>
                <c:pt idx="12">
                  <c:v>Расширенная реальность (AR/VR)</c:v>
                </c:pt>
              </c:strCache>
            </c:strRef>
          </c:cat>
          <c:val>
            <c:numRef>
              <c:f>Лист1!$D$2:$D$14</c:f>
              <c:numCache>
                <c:formatCode>General</c:formatCode>
                <c:ptCount val="13"/>
                <c:pt idx="3">
                  <c:v>9</c:v>
                </c:pt>
                <c:pt idx="5">
                  <c:v>4</c:v>
                </c:pt>
                <c:pt idx="6">
                  <c:v>9</c:v>
                </c:pt>
                <c:pt idx="7">
                  <c:v>9</c:v>
                </c:pt>
                <c:pt idx="8">
                  <c:v>13</c:v>
                </c:pt>
                <c:pt idx="9">
                  <c:v>9</c:v>
                </c:pt>
                <c:pt idx="10">
                  <c:v>9</c:v>
                </c:pt>
                <c:pt idx="11">
                  <c:v>9</c:v>
                </c:pt>
                <c:pt idx="12">
                  <c:v>14</c:v>
                </c:pt>
              </c:numCache>
            </c:numRef>
          </c:val>
          <c:extLst xmlns:c16r2="http://schemas.microsoft.com/office/drawing/2015/06/chart">
            <c:ext xmlns:c16="http://schemas.microsoft.com/office/drawing/2014/chart" uri="{C3380CC4-5D6E-409C-BE32-E72D297353CC}">
              <c16:uniqueId val="{00000002-851C-4C21-B2BD-C36D1E5CE622}"/>
            </c:ext>
          </c:extLst>
        </c:ser>
        <c:ser>
          <c:idx val="3"/>
          <c:order val="3"/>
          <c:tx>
            <c:strRef>
              <c:f>Лист1!$E$1</c:f>
              <c:strCache>
                <c:ptCount val="1"/>
                <c:pt idx="0">
                  <c:v>Не используется</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Лист1!$A$2:$A$14</c:f>
              <c:strCache>
                <c:ptCount val="13"/>
                <c:pt idx="0">
                  <c:v>Мобильные интерфейсы </c:v>
                </c:pt>
                <c:pt idx="1">
                  <c:v>Корпоративное хранилище данных</c:v>
                </c:pt>
                <c:pt idx="2">
                  <c:v>Облачные технологии</c:v>
                </c:pt>
                <c:pt idx="3">
                  <c:v>Партнерские API</c:v>
                </c:pt>
                <c:pt idx="4">
                  <c:v>Анализ больших данных </c:v>
                </c:pt>
                <c:pt idx="5">
                  <c:v>Роботизация процессов (RPA)</c:v>
                </c:pt>
                <c:pt idx="6">
                  <c:v>Когнитивные технологии с ИИ</c:v>
                </c:pt>
                <c:pt idx="7">
                  <c:v>Машинное обучение (ML)</c:v>
                </c:pt>
                <c:pt idx="8">
                  <c:v>Биометрические технологии </c:v>
                </c:pt>
                <c:pt idx="9">
                  <c:v>Технология распределения реестра (блокчейн)</c:v>
                </c:pt>
                <c:pt idx="10">
                  <c:v>Интернет вещей</c:v>
                </c:pt>
                <c:pt idx="11">
                  <c:v>Квантовые вычисления</c:v>
                </c:pt>
                <c:pt idx="12">
                  <c:v>Расширенная реальность (AR/VR)</c:v>
                </c:pt>
              </c:strCache>
            </c:strRef>
          </c:cat>
          <c:val>
            <c:numRef>
              <c:f>Лист1!$E$2:$E$14</c:f>
              <c:numCache>
                <c:formatCode>General</c:formatCode>
                <c:ptCount val="13"/>
                <c:pt idx="1">
                  <c:v>4</c:v>
                </c:pt>
                <c:pt idx="2">
                  <c:v>22</c:v>
                </c:pt>
                <c:pt idx="3">
                  <c:v>5</c:v>
                </c:pt>
                <c:pt idx="4">
                  <c:v>4</c:v>
                </c:pt>
                <c:pt idx="5">
                  <c:v>5</c:v>
                </c:pt>
                <c:pt idx="6">
                  <c:v>5</c:v>
                </c:pt>
                <c:pt idx="7">
                  <c:v>9</c:v>
                </c:pt>
                <c:pt idx="8">
                  <c:v>30</c:v>
                </c:pt>
                <c:pt idx="9">
                  <c:v>41</c:v>
                </c:pt>
                <c:pt idx="10">
                  <c:v>82</c:v>
                </c:pt>
                <c:pt idx="11">
                  <c:v>86</c:v>
                </c:pt>
                <c:pt idx="12">
                  <c:v>77</c:v>
                </c:pt>
              </c:numCache>
            </c:numRef>
          </c:val>
          <c:extLst xmlns:c16r2="http://schemas.microsoft.com/office/drawing/2015/06/chart">
            <c:ext xmlns:c16="http://schemas.microsoft.com/office/drawing/2014/chart" uri="{C3380CC4-5D6E-409C-BE32-E72D297353CC}">
              <c16:uniqueId val="{00000004-851C-4C21-B2BD-C36D1E5CE622}"/>
            </c:ext>
          </c:extLst>
        </c:ser>
        <c:dLbls>
          <c:showLegendKey val="0"/>
          <c:showVal val="1"/>
          <c:showCatName val="0"/>
          <c:showSerName val="0"/>
          <c:showPercent val="0"/>
          <c:showBubbleSize val="0"/>
        </c:dLbls>
        <c:gapWidth val="75"/>
        <c:overlap val="100"/>
        <c:axId val="142039680"/>
        <c:axId val="142045568"/>
      </c:barChart>
      <c:catAx>
        <c:axId val="1420396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2045568"/>
        <c:crosses val="autoZero"/>
        <c:auto val="1"/>
        <c:lblAlgn val="ctr"/>
        <c:lblOffset val="100"/>
        <c:noMultiLvlLbl val="0"/>
      </c:catAx>
      <c:valAx>
        <c:axId val="142045568"/>
        <c:scaling>
          <c:orientation val="minMax"/>
        </c:scaling>
        <c:delete val="0"/>
        <c:axPos val="b"/>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2039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Лист1!$B$1</c:f>
              <c:strCache>
                <c:ptCount val="1"/>
                <c:pt idx="0">
                  <c:v>Критически важно, наибольшая значимость </c:v>
                </c:pt>
              </c:strCache>
            </c:strRef>
          </c:tx>
          <c:spPr>
            <a:solidFill>
              <a:schemeClr val="accent3">
                <a:lumMod val="60000"/>
                <a:lumOff val="4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Лист1!$A$2:$A$13</c:f>
              <c:strCache>
                <c:ptCount val="12"/>
                <c:pt idx="0">
                  <c:v>Фин. услуги след. поколения  на базе новых технологий</c:v>
                </c:pt>
                <c:pt idx="1">
                  <c:v>Развитие конкуренции и регулирование экосистем</c:v>
                </c:pt>
                <c:pt idx="2">
                  <c:v>Развитие блокчейн-технологий</c:v>
                </c:pt>
                <c:pt idx="3">
                  <c:v>Облачные сервисы</c:v>
                </c:pt>
                <c:pt idx="4">
                  <c:v>Невидимые финансы</c:v>
                </c:pt>
                <c:pt idx="5">
                  <c:v>Свобода выбора финансовых продуктов</c:v>
                </c:pt>
                <c:pt idx="6">
                  <c:v>Финансовая грамотность в цифровом мире</c:v>
                </c:pt>
                <c:pt idx="7">
                  <c:v>Сквозная цифровизация финансового рынка</c:v>
                </c:pt>
                <c:pt idx="8">
                  <c:v>Развитие платежной среды</c:v>
                </c:pt>
                <c:pt idx="9">
                  <c:v>Развитие механизмов доступа к данным</c:v>
                </c:pt>
                <c:pt idx="10">
                  <c:v>Среда для развития финтех-инноваций</c:v>
                </c:pt>
                <c:pt idx="11">
                  <c:v>Безопасный финансовый рынок</c:v>
                </c:pt>
              </c:strCache>
            </c:strRef>
          </c:cat>
          <c:val>
            <c:numRef>
              <c:f>Лист1!$B$2:$B$13</c:f>
              <c:numCache>
                <c:formatCode>General</c:formatCode>
                <c:ptCount val="12"/>
                <c:pt idx="0">
                  <c:v>32</c:v>
                </c:pt>
                <c:pt idx="1">
                  <c:v>36</c:v>
                </c:pt>
                <c:pt idx="2">
                  <c:v>16</c:v>
                </c:pt>
                <c:pt idx="3">
                  <c:v>24</c:v>
                </c:pt>
                <c:pt idx="4">
                  <c:v>28</c:v>
                </c:pt>
                <c:pt idx="5">
                  <c:v>16</c:v>
                </c:pt>
                <c:pt idx="6">
                  <c:v>16</c:v>
                </c:pt>
                <c:pt idx="7">
                  <c:v>20</c:v>
                </c:pt>
                <c:pt idx="8">
                  <c:v>36</c:v>
                </c:pt>
                <c:pt idx="9">
                  <c:v>40</c:v>
                </c:pt>
                <c:pt idx="10">
                  <c:v>64</c:v>
                </c:pt>
                <c:pt idx="11">
                  <c:v>68</c:v>
                </c:pt>
              </c:numCache>
            </c:numRef>
          </c:val>
          <c:extLst xmlns:c16r2="http://schemas.microsoft.com/office/drawing/2015/06/chart">
            <c:ext xmlns:c16="http://schemas.microsoft.com/office/drawing/2014/chart" uri="{C3380CC4-5D6E-409C-BE32-E72D297353CC}">
              <c16:uniqueId val="{00000000-F032-44E8-89A3-AC139F232CF8}"/>
            </c:ext>
          </c:extLst>
        </c:ser>
        <c:ser>
          <c:idx val="1"/>
          <c:order val="1"/>
          <c:tx>
            <c:strRef>
              <c:f>Лист1!$C$1</c:f>
              <c:strCache>
                <c:ptCount val="1"/>
                <c:pt idx="0">
                  <c:v>Важно, средняя значимость </c:v>
                </c:pt>
              </c:strCache>
            </c:strRef>
          </c:tx>
          <c:spPr>
            <a:solidFill>
              <a:schemeClr val="accent5">
                <a:lumMod val="40000"/>
                <a:lumOff val="6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Лист1!$A$2:$A$13</c:f>
              <c:strCache>
                <c:ptCount val="12"/>
                <c:pt idx="0">
                  <c:v>Фин. услуги след. поколения  на базе новых технологий</c:v>
                </c:pt>
                <c:pt idx="1">
                  <c:v>Развитие конкуренции и регулирование экосистем</c:v>
                </c:pt>
                <c:pt idx="2">
                  <c:v>Развитие блокчейн-технологий</c:v>
                </c:pt>
                <c:pt idx="3">
                  <c:v>Облачные сервисы</c:v>
                </c:pt>
                <c:pt idx="4">
                  <c:v>Невидимые финансы</c:v>
                </c:pt>
                <c:pt idx="5">
                  <c:v>Свобода выбора финансовых продуктов</c:v>
                </c:pt>
                <c:pt idx="6">
                  <c:v>Финансовая грамотность в цифровом мире</c:v>
                </c:pt>
                <c:pt idx="7">
                  <c:v>Сквозная цифровизация финансового рынка</c:v>
                </c:pt>
                <c:pt idx="8">
                  <c:v>Развитие платежной среды</c:v>
                </c:pt>
                <c:pt idx="9">
                  <c:v>Развитие механизмов доступа к данным</c:v>
                </c:pt>
                <c:pt idx="10">
                  <c:v>Среда для развития финтех-инноваций</c:v>
                </c:pt>
                <c:pt idx="11">
                  <c:v>Безопасный финансовый рынок</c:v>
                </c:pt>
              </c:strCache>
            </c:strRef>
          </c:cat>
          <c:val>
            <c:numRef>
              <c:f>Лист1!$C$2:$C$13</c:f>
              <c:numCache>
                <c:formatCode>General</c:formatCode>
                <c:ptCount val="12"/>
                <c:pt idx="0">
                  <c:v>48</c:v>
                </c:pt>
                <c:pt idx="1">
                  <c:v>52</c:v>
                </c:pt>
                <c:pt idx="2">
                  <c:v>36</c:v>
                </c:pt>
                <c:pt idx="3">
                  <c:v>52</c:v>
                </c:pt>
                <c:pt idx="4">
                  <c:v>56</c:v>
                </c:pt>
                <c:pt idx="5">
                  <c:v>68</c:v>
                </c:pt>
                <c:pt idx="6">
                  <c:v>60</c:v>
                </c:pt>
                <c:pt idx="7">
                  <c:v>48</c:v>
                </c:pt>
                <c:pt idx="8">
                  <c:v>52</c:v>
                </c:pt>
                <c:pt idx="9">
                  <c:v>40</c:v>
                </c:pt>
                <c:pt idx="10">
                  <c:v>36</c:v>
                </c:pt>
                <c:pt idx="11">
                  <c:v>32</c:v>
                </c:pt>
              </c:numCache>
            </c:numRef>
          </c:val>
          <c:extLst xmlns:c16r2="http://schemas.microsoft.com/office/drawing/2015/06/chart">
            <c:ext xmlns:c16="http://schemas.microsoft.com/office/drawing/2014/chart" uri="{C3380CC4-5D6E-409C-BE32-E72D297353CC}">
              <c16:uniqueId val="{00000001-F032-44E8-89A3-AC139F232CF8}"/>
            </c:ext>
          </c:extLst>
        </c:ser>
        <c:ser>
          <c:idx val="2"/>
          <c:order val="2"/>
          <c:tx>
            <c:strRef>
              <c:f>Лист1!$D$1</c:f>
              <c:strCache>
                <c:ptCount val="1"/>
                <c:pt idx="0">
                  <c:v>Неактуально на  текущем этапе</c:v>
                </c:pt>
              </c:strCache>
            </c:strRef>
          </c:tx>
          <c:spPr>
            <a:solidFill>
              <a:schemeClr val="bg2">
                <a:lumMod val="50000"/>
              </a:schemeClr>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Лист1!$A$2:$A$13</c:f>
              <c:strCache>
                <c:ptCount val="12"/>
                <c:pt idx="0">
                  <c:v>Фин. услуги след. поколения  на базе новых технологий</c:v>
                </c:pt>
                <c:pt idx="1">
                  <c:v>Развитие конкуренции и регулирование экосистем</c:v>
                </c:pt>
                <c:pt idx="2">
                  <c:v>Развитие блокчейн-технологий</c:v>
                </c:pt>
                <c:pt idx="3">
                  <c:v>Облачные сервисы</c:v>
                </c:pt>
                <c:pt idx="4">
                  <c:v>Невидимые финансы</c:v>
                </c:pt>
                <c:pt idx="5">
                  <c:v>Свобода выбора финансовых продуктов</c:v>
                </c:pt>
                <c:pt idx="6">
                  <c:v>Финансовая грамотность в цифровом мире</c:v>
                </c:pt>
                <c:pt idx="7">
                  <c:v>Сквозная цифровизация финансового рынка</c:v>
                </c:pt>
                <c:pt idx="8">
                  <c:v>Развитие платежной среды</c:v>
                </c:pt>
                <c:pt idx="9">
                  <c:v>Развитие механизмов доступа к данным</c:v>
                </c:pt>
                <c:pt idx="10">
                  <c:v>Среда для развития финтех-инноваций</c:v>
                </c:pt>
                <c:pt idx="11">
                  <c:v>Безопасный финансовый рынок</c:v>
                </c:pt>
              </c:strCache>
            </c:strRef>
          </c:cat>
          <c:val>
            <c:numRef>
              <c:f>Лист1!$D$2:$D$13</c:f>
              <c:numCache>
                <c:formatCode>General</c:formatCode>
                <c:ptCount val="12"/>
                <c:pt idx="0">
                  <c:v>20</c:v>
                </c:pt>
                <c:pt idx="1">
                  <c:v>12</c:v>
                </c:pt>
                <c:pt idx="2">
                  <c:v>48</c:v>
                </c:pt>
                <c:pt idx="3">
                  <c:v>24</c:v>
                </c:pt>
                <c:pt idx="4">
                  <c:v>16</c:v>
                </c:pt>
                <c:pt idx="5">
                  <c:v>16</c:v>
                </c:pt>
                <c:pt idx="6">
                  <c:v>24</c:v>
                </c:pt>
                <c:pt idx="7">
                  <c:v>32</c:v>
                </c:pt>
                <c:pt idx="8">
                  <c:v>12</c:v>
                </c:pt>
                <c:pt idx="9">
                  <c:v>20</c:v>
                </c:pt>
              </c:numCache>
            </c:numRef>
          </c:val>
          <c:extLst xmlns:c16r2="http://schemas.microsoft.com/office/drawing/2015/06/chart">
            <c:ext xmlns:c16="http://schemas.microsoft.com/office/drawing/2014/chart" uri="{C3380CC4-5D6E-409C-BE32-E72D297353CC}">
              <c16:uniqueId val="{00000002-F032-44E8-89A3-AC139F232CF8}"/>
            </c:ext>
          </c:extLst>
        </c:ser>
        <c:dLbls>
          <c:showLegendKey val="0"/>
          <c:showVal val="1"/>
          <c:showCatName val="0"/>
          <c:showSerName val="0"/>
          <c:showPercent val="0"/>
          <c:showBubbleSize val="0"/>
        </c:dLbls>
        <c:gapWidth val="75"/>
        <c:overlap val="100"/>
        <c:axId val="142594432"/>
        <c:axId val="142595968"/>
      </c:barChart>
      <c:catAx>
        <c:axId val="142594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2595968"/>
        <c:crosses val="autoZero"/>
        <c:auto val="1"/>
        <c:lblAlgn val="ctr"/>
        <c:lblOffset val="100"/>
        <c:noMultiLvlLbl val="0"/>
      </c:catAx>
      <c:valAx>
        <c:axId val="142595968"/>
        <c:scaling>
          <c:orientation val="minMax"/>
        </c:scaling>
        <c:delete val="0"/>
        <c:axPos val="b"/>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25944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Количество операций млрд. ед. </c:v>
                </c:pt>
              </c:strCache>
            </c:strRef>
          </c:tx>
          <c:spPr>
            <a:solidFill>
              <a:schemeClr val="accent1">
                <a:tint val="77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2021 г.</c:v>
                </c:pt>
                <c:pt idx="1">
                  <c:v>2022 г. </c:v>
                </c:pt>
                <c:pt idx="2">
                  <c:v>2023 г.</c:v>
                </c:pt>
                <c:pt idx="3">
                  <c:v>2024 г.</c:v>
                </c:pt>
              </c:strCache>
            </c:strRef>
          </c:cat>
          <c:val>
            <c:numRef>
              <c:f>Лист1!$B$2:$B$5</c:f>
              <c:numCache>
                <c:formatCode>General</c:formatCode>
                <c:ptCount val="4"/>
                <c:pt idx="0">
                  <c:v>0.88</c:v>
                </c:pt>
                <c:pt idx="1">
                  <c:v>3.05</c:v>
                </c:pt>
                <c:pt idx="2">
                  <c:v>7.15</c:v>
                </c:pt>
                <c:pt idx="3">
                  <c:v>13.41</c:v>
                </c:pt>
              </c:numCache>
            </c:numRef>
          </c:val>
          <c:extLst xmlns:c16r2="http://schemas.microsoft.com/office/drawing/2015/06/chart">
            <c:ext xmlns:c16="http://schemas.microsoft.com/office/drawing/2014/chart" uri="{C3380CC4-5D6E-409C-BE32-E72D297353CC}">
              <c16:uniqueId val="{00000000-107E-4DAA-B13D-9CB429D7B521}"/>
            </c:ext>
          </c:extLst>
        </c:ser>
        <c:ser>
          <c:idx val="1"/>
          <c:order val="1"/>
          <c:tx>
            <c:strRef>
              <c:f>Лист1!$C$1</c:f>
              <c:strCache>
                <c:ptCount val="1"/>
                <c:pt idx="0">
                  <c:v>Сумма, трлн. руб.</c:v>
                </c:pt>
              </c:strCache>
            </c:strRef>
          </c:tx>
          <c:spPr>
            <a:solidFill>
              <a:schemeClr val="accent1">
                <a:shade val="76000"/>
              </a:schemeClr>
            </a:solidFill>
            <a:ln>
              <a:noFill/>
            </a:ln>
            <a:effectLst/>
          </c:spPr>
          <c:invertIfNegative val="0"/>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Лист1!$A$2:$A$5</c:f>
              <c:strCache>
                <c:ptCount val="4"/>
                <c:pt idx="0">
                  <c:v>2021 г.</c:v>
                </c:pt>
                <c:pt idx="1">
                  <c:v>2022 г. </c:v>
                </c:pt>
                <c:pt idx="2">
                  <c:v>2023 г.</c:v>
                </c:pt>
                <c:pt idx="3">
                  <c:v>2024 г.</c:v>
                </c:pt>
              </c:strCache>
            </c:strRef>
          </c:cat>
          <c:val>
            <c:numRef>
              <c:f>Лист1!$C$2:$C$5</c:f>
              <c:numCache>
                <c:formatCode>General</c:formatCode>
                <c:ptCount val="4"/>
                <c:pt idx="0">
                  <c:v>5.04</c:v>
                </c:pt>
                <c:pt idx="1">
                  <c:v>14.35</c:v>
                </c:pt>
                <c:pt idx="2">
                  <c:v>30.99</c:v>
                </c:pt>
                <c:pt idx="3">
                  <c:v>69.5</c:v>
                </c:pt>
              </c:numCache>
            </c:numRef>
          </c:val>
          <c:extLst xmlns:c16r2="http://schemas.microsoft.com/office/drawing/2015/06/chart">
            <c:ext xmlns:c16="http://schemas.microsoft.com/office/drawing/2014/chart" uri="{C3380CC4-5D6E-409C-BE32-E72D297353CC}">
              <c16:uniqueId val="{00000001-107E-4DAA-B13D-9CB429D7B521}"/>
            </c:ext>
          </c:extLst>
        </c:ser>
        <c:dLbls>
          <c:dLblPos val="outEnd"/>
          <c:showLegendKey val="0"/>
          <c:showVal val="1"/>
          <c:showCatName val="0"/>
          <c:showSerName val="0"/>
          <c:showPercent val="0"/>
          <c:showBubbleSize val="0"/>
        </c:dLbls>
        <c:gapWidth val="75"/>
        <c:overlap val="-25"/>
        <c:axId val="144478592"/>
        <c:axId val="144480128"/>
      </c:barChart>
      <c:catAx>
        <c:axId val="144478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4480128"/>
        <c:crosses val="autoZero"/>
        <c:auto val="1"/>
        <c:lblAlgn val="ctr"/>
        <c:lblOffset val="100"/>
        <c:noMultiLvlLbl val="0"/>
      </c:catAx>
      <c:valAx>
        <c:axId val="1444801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444785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9BA072-52E1-4824-82DC-134A91D68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1968</Words>
  <Characters>11222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llya iu</dc:creator>
  <cp:keywords/>
  <dc:description/>
  <cp:lastModifiedBy>s8yckova@yandex.ru</cp:lastModifiedBy>
  <cp:revision>5</cp:revision>
  <dcterms:created xsi:type="dcterms:W3CDTF">2025-11-24T09:05:00Z</dcterms:created>
  <dcterms:modified xsi:type="dcterms:W3CDTF">2025-12-04T08:44:00Z</dcterms:modified>
</cp:coreProperties>
</file>