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5D9" w:rsidRDefault="00C17240">
      <w:pPr>
        <w:spacing w:after="0" w:line="360" w:lineRule="auto"/>
        <w:jc w:val="right"/>
      </w:pPr>
      <w:r>
        <w:t>УДК 336.1</w:t>
      </w:r>
    </w:p>
    <w:p w:rsidR="00CC55D9" w:rsidRDefault="00C17240">
      <w:pPr>
        <w:spacing w:after="0" w:line="360" w:lineRule="auto"/>
        <w:jc w:val="center"/>
        <w:rPr>
          <w:b/>
          <w:bCs/>
        </w:rPr>
      </w:pPr>
      <w:r>
        <w:rPr>
          <w:b/>
          <w:bCs/>
        </w:rPr>
        <w:t>АНАЛИЗ ФОРМИРОВАНИЯ И ИСПОЛНЕНИЯ БЮДЖЕТА ЕДИНОГО СОЦИАЛЬНОГО ФОНДА РОССИИ В ПЕРИОД РЕОРГАНИЗАЦИИ</w:t>
      </w:r>
    </w:p>
    <w:p w:rsidR="00CC55D9" w:rsidRPr="00187F20" w:rsidRDefault="00C17240">
      <w:pPr>
        <w:spacing w:after="0" w:line="360" w:lineRule="auto"/>
        <w:jc w:val="center"/>
        <w:rPr>
          <w:b/>
          <w:bCs/>
          <w:lang w:val="en-US"/>
        </w:rPr>
      </w:pPr>
      <w:r>
        <w:rPr>
          <w:b/>
          <w:bCs/>
          <w:lang w:val="en-US"/>
        </w:rPr>
        <w:t>ANALYSIS OF THE FORMATION AND EXECUTION OF THE UNIFIED SOCIAL FUND OF RUSSIA BUDGET DURING THE PERIOD OF REORGANIZATION</w:t>
      </w:r>
    </w:p>
    <w:p w:rsidR="00427761" w:rsidRPr="00187F20" w:rsidRDefault="00427761">
      <w:pPr>
        <w:spacing w:after="0" w:line="360" w:lineRule="auto"/>
        <w:jc w:val="center"/>
        <w:rPr>
          <w:b/>
          <w:bCs/>
          <w:lang w:val="en-US"/>
        </w:rPr>
      </w:pPr>
    </w:p>
    <w:p w:rsidR="00CC55D9" w:rsidRDefault="00C17240">
      <w:pPr>
        <w:spacing w:after="0" w:line="360" w:lineRule="auto"/>
        <w:jc w:val="right"/>
        <w:rPr>
          <w:rFonts w:eastAsia="Times New Roman"/>
          <w:b/>
          <w:lang w:eastAsia="ru-RU"/>
        </w:rPr>
      </w:pPr>
      <w:r>
        <w:rPr>
          <w:rFonts w:eastAsia="Times New Roman"/>
          <w:b/>
          <w:lang w:eastAsia="ru-RU"/>
        </w:rPr>
        <w:t>БАТУРИНА ИРИНА НИКОЛАЕВНА</w:t>
      </w:r>
    </w:p>
    <w:p w:rsidR="00CC55D9" w:rsidRDefault="00C17240">
      <w:pPr>
        <w:spacing w:after="0" w:line="360" w:lineRule="auto"/>
        <w:jc w:val="right"/>
        <w:rPr>
          <w:rFonts w:eastAsia="Times New Roman"/>
          <w:bCs/>
          <w:i/>
          <w:iCs/>
          <w:lang w:eastAsia="ru-RU"/>
        </w:rPr>
      </w:pPr>
      <w:r>
        <w:rPr>
          <w:rFonts w:eastAsia="Times New Roman"/>
          <w:bCs/>
          <w:i/>
          <w:iCs/>
          <w:lang w:eastAsia="ru-RU"/>
        </w:rPr>
        <w:t>Кандидат экономических наук, доцент</w:t>
      </w:r>
    </w:p>
    <w:p w:rsidR="00CC55D9" w:rsidRDefault="00C17240">
      <w:pPr>
        <w:spacing w:after="0" w:line="360" w:lineRule="auto"/>
        <w:jc w:val="right"/>
        <w:rPr>
          <w:rFonts w:eastAsia="Times New Roman"/>
          <w:i/>
          <w:iCs/>
          <w:lang w:eastAsia="ru-RU"/>
        </w:rPr>
      </w:pPr>
      <w:r>
        <w:rPr>
          <w:rFonts w:eastAsia="Times New Roman"/>
          <w:bCs/>
          <w:i/>
          <w:iCs/>
          <w:lang w:eastAsia="ru-RU"/>
        </w:rPr>
        <w:t>Курганский государственный университет</w:t>
      </w:r>
    </w:p>
    <w:p w:rsidR="00CC55D9" w:rsidRPr="005C1ECE" w:rsidRDefault="00C17240">
      <w:pPr>
        <w:spacing w:after="0" w:line="360" w:lineRule="auto"/>
        <w:jc w:val="right"/>
        <w:rPr>
          <w:rFonts w:eastAsia="Times New Roman"/>
          <w:b/>
          <w:bCs/>
          <w:iCs/>
        </w:rPr>
      </w:pPr>
      <w:r w:rsidRPr="00187F20">
        <w:rPr>
          <w:rFonts w:eastAsia="Times New Roman"/>
          <w:b/>
          <w:bCs/>
          <w:iCs/>
          <w:lang w:val="en-US" w:eastAsia="ru-RU"/>
        </w:rPr>
        <w:t>BATURINA</w:t>
      </w:r>
      <w:r w:rsidRPr="005C1ECE">
        <w:rPr>
          <w:rFonts w:eastAsia="Times New Roman"/>
          <w:b/>
          <w:bCs/>
          <w:iCs/>
          <w:lang w:eastAsia="ru-RU"/>
        </w:rPr>
        <w:t xml:space="preserve"> </w:t>
      </w:r>
      <w:r w:rsidRPr="00187F20">
        <w:rPr>
          <w:rFonts w:eastAsia="Times New Roman"/>
          <w:b/>
          <w:bCs/>
          <w:iCs/>
          <w:lang w:val="en-US" w:eastAsia="ru-RU"/>
        </w:rPr>
        <w:t>IRINA</w:t>
      </w:r>
      <w:r w:rsidRPr="005C1ECE">
        <w:rPr>
          <w:rFonts w:eastAsia="Times New Roman"/>
          <w:b/>
          <w:bCs/>
          <w:iCs/>
          <w:lang w:eastAsia="ru-RU"/>
        </w:rPr>
        <w:t xml:space="preserve"> </w:t>
      </w:r>
      <w:r w:rsidRPr="00187F20">
        <w:rPr>
          <w:rFonts w:eastAsia="Times New Roman"/>
          <w:b/>
          <w:bCs/>
          <w:iCs/>
          <w:lang w:val="en-US" w:eastAsia="ru-RU"/>
        </w:rPr>
        <w:t>NIKOLAEVNA</w:t>
      </w:r>
    </w:p>
    <w:p w:rsidR="00CC55D9" w:rsidRPr="00427761" w:rsidRDefault="00C17240">
      <w:pPr>
        <w:spacing w:after="0" w:line="360" w:lineRule="auto"/>
        <w:jc w:val="right"/>
        <w:rPr>
          <w:rFonts w:eastAsia="Times New Roman"/>
          <w:bCs/>
          <w:i/>
          <w:iCs/>
          <w:lang w:val="en-US" w:eastAsia="ru-RU"/>
        </w:rPr>
      </w:pPr>
      <w:r w:rsidRPr="00427761">
        <w:rPr>
          <w:rFonts w:eastAsia="Times New Roman"/>
          <w:bCs/>
          <w:i/>
          <w:iCs/>
          <w:lang w:val="en-US" w:eastAsia="ru-RU"/>
        </w:rPr>
        <w:t>Candidate of Economic Sciences, Associate Professor</w:t>
      </w:r>
    </w:p>
    <w:p w:rsidR="00CC55D9" w:rsidRDefault="00C17240">
      <w:pPr>
        <w:spacing w:after="0" w:line="360" w:lineRule="auto"/>
        <w:jc w:val="right"/>
        <w:rPr>
          <w:bCs/>
          <w:i/>
        </w:rPr>
      </w:pPr>
      <w:proofErr w:type="spellStart"/>
      <w:r>
        <w:rPr>
          <w:rFonts w:eastAsia="Times New Roman"/>
          <w:bCs/>
          <w:i/>
          <w:iCs/>
          <w:lang w:eastAsia="ru-RU"/>
        </w:rPr>
        <w:t>Kurgan</w:t>
      </w:r>
      <w:proofErr w:type="spellEnd"/>
      <w:r>
        <w:rPr>
          <w:rFonts w:eastAsia="Times New Roman"/>
          <w:bCs/>
          <w:i/>
          <w:iCs/>
          <w:lang w:eastAsia="ru-RU"/>
        </w:rPr>
        <w:t xml:space="preserve"> </w:t>
      </w:r>
      <w:proofErr w:type="spellStart"/>
      <w:r>
        <w:rPr>
          <w:rFonts w:eastAsia="Times New Roman"/>
          <w:bCs/>
          <w:i/>
          <w:iCs/>
          <w:lang w:eastAsia="ru-RU"/>
        </w:rPr>
        <w:t>State</w:t>
      </w:r>
      <w:proofErr w:type="spellEnd"/>
      <w:r>
        <w:rPr>
          <w:rFonts w:eastAsia="Times New Roman"/>
          <w:bCs/>
          <w:i/>
          <w:iCs/>
          <w:lang w:eastAsia="ru-RU"/>
        </w:rPr>
        <w:t xml:space="preserve"> </w:t>
      </w:r>
      <w:proofErr w:type="spellStart"/>
      <w:r>
        <w:rPr>
          <w:rFonts w:eastAsia="Times New Roman"/>
          <w:bCs/>
          <w:i/>
          <w:iCs/>
          <w:lang w:eastAsia="ru-RU"/>
        </w:rPr>
        <w:t>University</w:t>
      </w:r>
      <w:proofErr w:type="spellEnd"/>
    </w:p>
    <w:p w:rsidR="00CC55D9" w:rsidRPr="005C1ECE" w:rsidRDefault="00C17240">
      <w:pPr>
        <w:spacing w:after="0" w:line="360" w:lineRule="auto"/>
        <w:ind w:firstLine="567"/>
        <w:jc w:val="both"/>
        <w:rPr>
          <w:i/>
          <w:iCs/>
        </w:rPr>
      </w:pPr>
      <w:r w:rsidRPr="005C1ECE">
        <w:rPr>
          <w:i/>
          <w:iCs/>
        </w:rPr>
        <w:t>Аннотация.</w:t>
      </w:r>
      <w:r w:rsidRPr="005C1ECE">
        <w:rPr>
          <w:b/>
          <w:bCs/>
          <w:i/>
        </w:rPr>
        <w:t xml:space="preserve"> </w:t>
      </w:r>
      <w:r w:rsidRPr="005C1ECE">
        <w:rPr>
          <w:i/>
          <w:iCs/>
        </w:rPr>
        <w:t xml:space="preserve">В статье проведен анализ институциональных и финансовых аспектов функционирования Социального фонда Российской Федерации (СФР), созданного в 2023 году в результате объединения Пенсионного фонда России (ПФР) и Фонда социального страхования (ФСС). Цель исследования – оценка формирования и исполнения бюджета нового фонда в переходный период, а также выявление ключевых финансовых тенденций и управленческих проблем. Методологическую основу составляют анализ официальных данных бюджетной отчетности СФР и консолидированной системы государственных внебюджетных фондов за 2022-2024 годы, а также применение методов сравнительного и структурного анализа. Результаты демонстрируют что, после дефицита в 2024 году бюджет стал </w:t>
      </w:r>
      <w:proofErr w:type="spellStart"/>
      <w:r w:rsidRPr="005C1ECE">
        <w:rPr>
          <w:i/>
          <w:iCs/>
        </w:rPr>
        <w:t>профицитным</w:t>
      </w:r>
      <w:proofErr w:type="spellEnd"/>
      <w:r w:rsidRPr="005C1ECE">
        <w:rPr>
          <w:i/>
          <w:iCs/>
        </w:rPr>
        <w:t xml:space="preserve">. Для повышения финансовой устойчивости автор предлагает меры по </w:t>
      </w:r>
      <w:proofErr w:type="spellStart"/>
      <w:r w:rsidRPr="005C1ECE">
        <w:rPr>
          <w:i/>
          <w:iCs/>
        </w:rPr>
        <w:t>цифровизации</w:t>
      </w:r>
      <w:proofErr w:type="spellEnd"/>
      <w:r w:rsidRPr="005C1ECE">
        <w:rPr>
          <w:i/>
          <w:iCs/>
        </w:rPr>
        <w:t>, внедрению «Социального казначейства», расширению использования электронных сертификатов и повышениями финансовой грамотности населения.</w:t>
      </w:r>
    </w:p>
    <w:p w:rsidR="00427761" w:rsidRPr="005C1ECE" w:rsidRDefault="00427761" w:rsidP="00427761">
      <w:pPr>
        <w:spacing w:after="0" w:line="360" w:lineRule="auto"/>
        <w:ind w:firstLine="567"/>
        <w:jc w:val="both"/>
        <w:rPr>
          <w:i/>
          <w:iCs/>
          <w:lang w:val="en-US"/>
        </w:rPr>
      </w:pPr>
      <w:r w:rsidRPr="005C1ECE">
        <w:rPr>
          <w:i/>
          <w:iCs/>
          <w:lang w:val="en-US"/>
        </w:rPr>
        <w:t>Abstract.</w:t>
      </w:r>
      <w:r w:rsidRPr="005C1ECE">
        <w:rPr>
          <w:i/>
          <w:lang w:val="en-US"/>
        </w:rPr>
        <w:t xml:space="preserve"> The article analyzes the institutional and financial aspects of the functioning of the Social Fund of the Russian Federation (SFR), established in 2023 </w:t>
      </w:r>
      <w:r w:rsidRPr="005C1ECE">
        <w:rPr>
          <w:i/>
          <w:lang w:val="en-US"/>
        </w:rPr>
        <w:lastRenderedPageBreak/>
        <w:t>as a result of the merger of the Pension Fund of Russia (PFR) and the Social Insurance Fund (Social Insurance Fund). The purpose of the study is to assess the formation and execution of the budget of the new fund during the transition period, as well as to identify key financial trends and management problems. The methodological basis is the analysis of official data from the budget statements of the SFR and the consolidated system of state extra-budgetary funds for 2022-2024, as well as the application of comparative and structural analysis methods. The results show that, after a deficit in 2024, the budget became a surplus. To increase financial stability, the author suggests measures for digitalization, the introduction of a "Social Treasury", the expansion of the use of electronic certificates and the improvement of financial literacy of the population.</w:t>
      </w:r>
    </w:p>
    <w:p w:rsidR="00CC55D9" w:rsidRPr="005C1ECE" w:rsidRDefault="00C17240" w:rsidP="00427761">
      <w:pPr>
        <w:spacing w:after="0" w:line="360" w:lineRule="auto"/>
        <w:ind w:firstLine="567"/>
        <w:jc w:val="both"/>
        <w:rPr>
          <w:i/>
          <w:iCs/>
        </w:rPr>
      </w:pPr>
      <w:r w:rsidRPr="005C1ECE">
        <w:rPr>
          <w:b/>
          <w:bCs/>
          <w:i/>
          <w:lang w:val="en-US"/>
        </w:rPr>
        <w:tab/>
      </w:r>
      <w:r w:rsidRPr="005C1ECE">
        <w:rPr>
          <w:b/>
          <w:i/>
          <w:iCs/>
        </w:rPr>
        <w:t>Ключевые слова:</w:t>
      </w:r>
      <w:r w:rsidRPr="005C1ECE">
        <w:rPr>
          <w:i/>
          <w:iCs/>
        </w:rPr>
        <w:t xml:space="preserve"> Социальный фонд России, социальное страхование, пенсионное обеспечение, социальная политика, консолидация. </w:t>
      </w:r>
      <w:r w:rsidRPr="005C1ECE">
        <w:rPr>
          <w:b/>
          <w:bCs/>
          <w:i/>
        </w:rPr>
        <w:tab/>
      </w:r>
    </w:p>
    <w:p w:rsidR="00CC55D9" w:rsidRPr="005C1ECE" w:rsidRDefault="00C17240">
      <w:pPr>
        <w:spacing w:after="0" w:line="360" w:lineRule="auto"/>
        <w:ind w:firstLine="567"/>
        <w:jc w:val="both"/>
        <w:rPr>
          <w:i/>
          <w:iCs/>
          <w:lang w:val="en-US"/>
        </w:rPr>
      </w:pPr>
      <w:r w:rsidRPr="005C1ECE">
        <w:rPr>
          <w:b/>
          <w:i/>
          <w:iCs/>
          <w:lang w:val="en-US"/>
        </w:rPr>
        <w:t>Key</w:t>
      </w:r>
      <w:r w:rsidR="00427761" w:rsidRPr="005C1ECE">
        <w:rPr>
          <w:b/>
          <w:i/>
          <w:iCs/>
          <w:lang w:val="en-US"/>
        </w:rPr>
        <w:t xml:space="preserve"> </w:t>
      </w:r>
      <w:r w:rsidRPr="005C1ECE">
        <w:rPr>
          <w:b/>
          <w:i/>
          <w:iCs/>
          <w:lang w:val="en-US"/>
        </w:rPr>
        <w:t>words:</w:t>
      </w:r>
      <w:r w:rsidRPr="005C1ECE">
        <w:rPr>
          <w:i/>
          <w:iCs/>
          <w:lang w:val="en-US"/>
        </w:rPr>
        <w:t xml:space="preserve"> Social Fund of Russia, social insurance, pensi</w:t>
      </w:r>
      <w:r w:rsidR="005C1ECE">
        <w:rPr>
          <w:i/>
          <w:iCs/>
          <w:lang w:val="en-US"/>
        </w:rPr>
        <w:t>on provision, and social policy</w:t>
      </w:r>
      <w:bookmarkStart w:id="0" w:name="_GoBack"/>
      <w:bookmarkEnd w:id="0"/>
      <w:r w:rsidRPr="005C1ECE">
        <w:rPr>
          <w:i/>
          <w:iCs/>
          <w:lang w:val="en-US"/>
        </w:rPr>
        <w:t>.</w:t>
      </w:r>
    </w:p>
    <w:p w:rsidR="00CC55D9" w:rsidRPr="005C1ECE" w:rsidRDefault="00CC55D9">
      <w:pPr>
        <w:spacing w:after="0" w:line="360" w:lineRule="auto"/>
        <w:ind w:firstLine="567"/>
        <w:jc w:val="both"/>
        <w:rPr>
          <w:i/>
          <w:lang w:val="en-US"/>
        </w:rPr>
      </w:pPr>
    </w:p>
    <w:p w:rsidR="00CC55D9" w:rsidRDefault="00C17240">
      <w:pPr>
        <w:spacing w:after="0" w:line="360" w:lineRule="auto"/>
        <w:ind w:firstLine="567"/>
        <w:jc w:val="both"/>
      </w:pPr>
      <w:r>
        <w:rPr>
          <w:b/>
          <w:bCs/>
          <w:lang w:val="en-US"/>
        </w:rPr>
        <w:tab/>
      </w:r>
      <w:r>
        <w:t xml:space="preserve">Реформа системы социального страхования и пенсионного обеспечения представляет собой важное направление социально-экономической политики множества стран. В Российской Федерации значимым шагом в этом направлении стало создание с 1 января 2023 года единого Социального фонда России (СФР), образованного на базе Пенсионного фонда России (ПФР) и Фонда социального страхования (ФСС). Эта институциональная реформа, инициированная Федеральным законом от 14 июля 2022 года 236-ФЗ «О Фонде пенсионного и социального страхования Российской Федерации», направлена на упрощение административных процедур для граждан и бизнеса, устранение дублирования функций и повышение эффективности управления социальными ресурсами. </w:t>
      </w:r>
    </w:p>
    <w:p w:rsidR="00CC55D9" w:rsidRDefault="00C17240">
      <w:pPr>
        <w:spacing w:after="0" w:line="360" w:lineRule="auto"/>
        <w:ind w:firstLine="567"/>
        <w:jc w:val="both"/>
      </w:pPr>
      <w:r>
        <w:tab/>
        <w:t xml:space="preserve">СФР был учрежден как универсальный оператор социальных выплат и услуг. В его обязанности вошли все функции ликвидированных фондов, включая назначение и выплату различных видов пенсий (страховых, </w:t>
      </w:r>
      <w:r>
        <w:lastRenderedPageBreak/>
        <w:t xml:space="preserve">накопительных, государственных), а также пособий по временной нетрудоспособности, беременности и родам, уходу за ребенком и другим случаям. Кроме того, фонд также управляет средствами материнского капитала, обеспечивает инвалидов техническими средствами реабилитации и администрирует страховые взносы </w:t>
      </w:r>
      <w:r>
        <w:rPr>
          <w:rFonts w:ascii="Symbol" w:eastAsia="Symbol" w:hAnsi="Symbol" w:cs="Symbol"/>
        </w:rPr>
        <w:t></w:t>
      </w:r>
      <w:r>
        <w:t>3,6,7</w:t>
      </w:r>
      <w:r>
        <w:rPr>
          <w:rFonts w:ascii="Symbol" w:eastAsia="Symbol" w:hAnsi="Symbol" w:cs="Symbol"/>
        </w:rPr>
        <w:t></w:t>
      </w:r>
      <w:r>
        <w:t xml:space="preserve">. </w:t>
      </w:r>
    </w:p>
    <w:p w:rsidR="00CC55D9" w:rsidRDefault="00C17240">
      <w:pPr>
        <w:spacing w:after="0" w:line="360" w:lineRule="auto"/>
        <w:ind w:firstLine="567"/>
        <w:jc w:val="both"/>
      </w:pPr>
      <w:r>
        <w:t>В настоящее время СФР реализует модель «одного окна», что позволяет гражданам удобно получать спектр социальных услуг через единые каналы, такие как многофункциональные центры или портал «</w:t>
      </w:r>
      <w:proofErr w:type="spellStart"/>
      <w:r>
        <w:t>Госуслуги</w:t>
      </w:r>
      <w:proofErr w:type="spellEnd"/>
      <w:r>
        <w:t xml:space="preserve">». Для бизнеса реформы означали переход к единой системе отчетности и уплаты страховых взносов, что способствовало снижению административной нагрузки. </w:t>
      </w:r>
    </w:p>
    <w:p w:rsidR="00CC55D9" w:rsidRDefault="00C17240">
      <w:pPr>
        <w:spacing w:after="0" w:line="360" w:lineRule="auto"/>
        <w:ind w:firstLine="567"/>
        <w:jc w:val="both"/>
      </w:pPr>
      <w:r>
        <w:t xml:space="preserve">Основным источником доходов Социального фонда России (СФР), составляющим более 70 % являются страховые взносы. В связи с объединением фондов взносы на пенсионное, медицинское и социальное страхования уплачиваются по единому тарифу в размере 30 %. Эта сумма распределяется ИФНС по видам страхования: 72,8 % направляется на пенсионное страхование, 18,3 %  –   на медицинское страхование,   а 8,9 % – на социальное страхование от общего объема платежа.  Тарифы взносов по несчастным случаям остались без изменения (размер взносов варьируется от 0,2 до 8,5 % в зависимости от класса профессионального риска, установленного для работодателя) </w:t>
      </w:r>
      <w:r>
        <w:rPr>
          <w:rFonts w:ascii="Symbol" w:eastAsia="Symbol" w:hAnsi="Symbol" w:cs="Symbol"/>
        </w:rPr>
        <w:t></w:t>
      </w:r>
      <w:r>
        <w:t>1</w:t>
      </w:r>
      <w:r>
        <w:rPr>
          <w:rFonts w:ascii="Symbol" w:eastAsia="Symbol" w:hAnsi="Symbol" w:cs="Symbol"/>
        </w:rPr>
        <w:t></w:t>
      </w:r>
      <w:r>
        <w:t xml:space="preserve">. </w:t>
      </w:r>
    </w:p>
    <w:p w:rsidR="00CC55D9" w:rsidRDefault="00C17240">
      <w:pPr>
        <w:spacing w:after="0" w:line="360" w:lineRule="auto"/>
        <w:ind w:firstLine="567"/>
        <w:jc w:val="both"/>
      </w:pPr>
      <w:r>
        <w:t xml:space="preserve">Таким образом, представленная система тарифов страховых взносов и их распределения создает фундамент для формирования доходной базы, что находит непосредственное отражение </w:t>
      </w:r>
      <w:proofErr w:type="gramStart"/>
      <w:r>
        <w:t>в</w:t>
      </w:r>
      <w:proofErr w:type="gramEnd"/>
      <w:r>
        <w:t xml:space="preserve"> </w:t>
      </w:r>
      <w:proofErr w:type="gramStart"/>
      <w:r>
        <w:t>фактических</w:t>
      </w:r>
      <w:proofErr w:type="gramEnd"/>
      <w:r>
        <w:t xml:space="preserve"> показателя их исполнения. </w:t>
      </w:r>
    </w:p>
    <w:p w:rsidR="00CC55D9" w:rsidRPr="00427761" w:rsidRDefault="00C17240">
      <w:pPr>
        <w:spacing w:after="0" w:line="360" w:lineRule="auto"/>
        <w:ind w:firstLine="567"/>
        <w:jc w:val="both"/>
      </w:pPr>
      <w:r>
        <w:t xml:space="preserve">Суммарные доходы и расходы консолидированной системы фондов показывают стабильный номинальный рост. К 2024 году доходы увеличились на 26,0 %, в то время как расходы возросли на 31,6 % по сравнению с 2022 годом. При этом в 2023 году наблюдался дефицит в размере 488,6 </w:t>
      </w:r>
      <w:proofErr w:type="gramStart"/>
      <w:r>
        <w:t>млрд</w:t>
      </w:r>
      <w:proofErr w:type="gramEnd"/>
      <w:r>
        <w:t xml:space="preserve"> рублей, который в 2024 году сменился профицитом в 535,9 млрд рублей (табл. 1). </w:t>
      </w:r>
    </w:p>
    <w:p w:rsidR="00CC55D9" w:rsidRPr="00427761" w:rsidRDefault="00C17240">
      <w:pPr>
        <w:spacing w:after="0" w:line="360" w:lineRule="auto"/>
        <w:ind w:firstLine="567"/>
        <w:jc w:val="both"/>
      </w:pPr>
      <w:r>
        <w:t>Как было отмечено выше</w:t>
      </w:r>
      <w:r w:rsidR="00A13D11">
        <w:t>,</w:t>
      </w:r>
      <w:r>
        <w:t xml:space="preserve"> в 2023 году произошла реорганизация системы: Пенсионный фонд РФ и Фонд социального страхования РФ были объединены в </w:t>
      </w:r>
      <w:r>
        <w:lastRenderedPageBreak/>
        <w:t xml:space="preserve">единый Фонд пенсионного и социального страхования, на который с 2023 года приходится более 80 % всех доходов и расходов системы. В то же </w:t>
      </w:r>
      <w:proofErr w:type="gramStart"/>
      <w:r>
        <w:t>время</w:t>
      </w:r>
      <w:proofErr w:type="gramEnd"/>
      <w:r>
        <w:t xml:space="preserve"> несмотря на восстановление профицита в 2024 году, ключевой особенностью стала возросшая доля и расходная нагрузка на Федеральный фонд ОМС.</w:t>
      </w:r>
    </w:p>
    <w:p w:rsidR="00CC55D9" w:rsidRDefault="00C17240">
      <w:pPr>
        <w:spacing w:after="0" w:line="360" w:lineRule="auto"/>
        <w:ind w:firstLine="708"/>
        <w:jc w:val="right"/>
      </w:pPr>
      <w:r>
        <w:t>Таблица 1</w:t>
      </w:r>
    </w:p>
    <w:p w:rsidR="00CC55D9" w:rsidRDefault="00C17240">
      <w:pPr>
        <w:spacing w:after="0" w:line="360" w:lineRule="auto"/>
        <w:jc w:val="center"/>
      </w:pPr>
      <w:r>
        <w:t>Динамика доходов, расходов и финансового результата государственных внебюджетных фондов</w:t>
      </w:r>
    </w:p>
    <w:tbl>
      <w:tblPr>
        <w:tblStyle w:val="af9"/>
        <w:tblW w:w="0" w:type="auto"/>
        <w:tblLook w:val="04A0" w:firstRow="1" w:lastRow="0" w:firstColumn="1" w:lastColumn="0" w:noHBand="0" w:noVBand="1"/>
      </w:tblPr>
      <w:tblGrid>
        <w:gridCol w:w="2547"/>
        <w:gridCol w:w="1134"/>
        <w:gridCol w:w="850"/>
        <w:gridCol w:w="1134"/>
        <w:gridCol w:w="851"/>
        <w:gridCol w:w="1093"/>
        <w:gridCol w:w="756"/>
        <w:gridCol w:w="980"/>
      </w:tblGrid>
      <w:tr w:rsidR="00CC55D9">
        <w:tc>
          <w:tcPr>
            <w:tcW w:w="2547" w:type="dxa"/>
            <w:vMerge w:val="restart"/>
            <w:vAlign w:val="center"/>
          </w:tcPr>
          <w:p w:rsidR="00CC55D9" w:rsidRDefault="00C17240">
            <w:pPr>
              <w:jc w:val="center"/>
              <w:rPr>
                <w:sz w:val="24"/>
                <w:szCs w:val="24"/>
              </w:rPr>
            </w:pPr>
            <w:r>
              <w:rPr>
                <w:sz w:val="24"/>
                <w:szCs w:val="24"/>
              </w:rPr>
              <w:t>Показатель</w:t>
            </w:r>
          </w:p>
        </w:tc>
        <w:tc>
          <w:tcPr>
            <w:tcW w:w="1984" w:type="dxa"/>
            <w:gridSpan w:val="2"/>
            <w:vAlign w:val="center"/>
          </w:tcPr>
          <w:p w:rsidR="00CC55D9" w:rsidRDefault="00C17240">
            <w:pPr>
              <w:jc w:val="center"/>
              <w:rPr>
                <w:sz w:val="24"/>
                <w:szCs w:val="24"/>
              </w:rPr>
            </w:pPr>
            <w:r>
              <w:rPr>
                <w:sz w:val="24"/>
                <w:szCs w:val="24"/>
              </w:rPr>
              <w:t>2022 г.</w:t>
            </w:r>
          </w:p>
        </w:tc>
        <w:tc>
          <w:tcPr>
            <w:tcW w:w="1985" w:type="dxa"/>
            <w:gridSpan w:val="2"/>
            <w:vAlign w:val="center"/>
          </w:tcPr>
          <w:p w:rsidR="00CC55D9" w:rsidRDefault="00C17240">
            <w:pPr>
              <w:jc w:val="center"/>
              <w:rPr>
                <w:sz w:val="24"/>
                <w:szCs w:val="24"/>
              </w:rPr>
            </w:pPr>
            <w:r>
              <w:rPr>
                <w:sz w:val="24"/>
                <w:szCs w:val="24"/>
              </w:rPr>
              <w:t>2023 г.</w:t>
            </w:r>
          </w:p>
        </w:tc>
        <w:tc>
          <w:tcPr>
            <w:tcW w:w="1849" w:type="dxa"/>
            <w:gridSpan w:val="2"/>
            <w:vAlign w:val="center"/>
          </w:tcPr>
          <w:p w:rsidR="00CC55D9" w:rsidRDefault="00C17240">
            <w:pPr>
              <w:jc w:val="center"/>
              <w:rPr>
                <w:sz w:val="24"/>
                <w:szCs w:val="24"/>
              </w:rPr>
            </w:pPr>
            <w:r>
              <w:rPr>
                <w:sz w:val="24"/>
                <w:szCs w:val="24"/>
              </w:rPr>
              <w:t>2024 г.</w:t>
            </w:r>
          </w:p>
        </w:tc>
        <w:tc>
          <w:tcPr>
            <w:tcW w:w="980" w:type="dxa"/>
            <w:vMerge w:val="restart"/>
            <w:vAlign w:val="center"/>
          </w:tcPr>
          <w:p w:rsidR="00CC55D9" w:rsidRDefault="00C17240">
            <w:pPr>
              <w:jc w:val="center"/>
              <w:rPr>
                <w:sz w:val="24"/>
                <w:szCs w:val="24"/>
              </w:rPr>
            </w:pPr>
            <w:r>
              <w:rPr>
                <w:sz w:val="24"/>
                <w:szCs w:val="24"/>
              </w:rPr>
              <w:t>2024 г. в % к 2022 г.</w:t>
            </w:r>
          </w:p>
        </w:tc>
      </w:tr>
      <w:tr w:rsidR="00CC55D9">
        <w:tc>
          <w:tcPr>
            <w:tcW w:w="2547" w:type="dxa"/>
            <w:vMerge/>
            <w:vAlign w:val="center"/>
          </w:tcPr>
          <w:p w:rsidR="00CC55D9" w:rsidRDefault="00CC55D9">
            <w:pPr>
              <w:jc w:val="center"/>
              <w:rPr>
                <w:sz w:val="24"/>
                <w:szCs w:val="24"/>
              </w:rPr>
            </w:pPr>
          </w:p>
        </w:tc>
        <w:tc>
          <w:tcPr>
            <w:tcW w:w="1134" w:type="dxa"/>
            <w:vAlign w:val="center"/>
          </w:tcPr>
          <w:p w:rsidR="00CC55D9" w:rsidRDefault="00C17240">
            <w:pPr>
              <w:jc w:val="center"/>
              <w:rPr>
                <w:sz w:val="24"/>
                <w:szCs w:val="24"/>
              </w:rPr>
            </w:pPr>
            <w:r>
              <w:rPr>
                <w:sz w:val="24"/>
                <w:szCs w:val="24"/>
              </w:rPr>
              <w:t xml:space="preserve">сумма, </w:t>
            </w:r>
            <w:proofErr w:type="gramStart"/>
            <w:r>
              <w:rPr>
                <w:sz w:val="24"/>
                <w:szCs w:val="24"/>
              </w:rPr>
              <w:t>млрд</w:t>
            </w:r>
            <w:proofErr w:type="gramEnd"/>
            <w:r>
              <w:rPr>
                <w:sz w:val="24"/>
                <w:szCs w:val="24"/>
              </w:rPr>
              <w:t xml:space="preserve"> руб.</w:t>
            </w:r>
          </w:p>
        </w:tc>
        <w:tc>
          <w:tcPr>
            <w:tcW w:w="850" w:type="dxa"/>
          </w:tcPr>
          <w:p w:rsidR="00CC55D9" w:rsidRDefault="00C17240">
            <w:pPr>
              <w:jc w:val="center"/>
              <w:rPr>
                <w:sz w:val="24"/>
                <w:szCs w:val="24"/>
              </w:rPr>
            </w:pPr>
            <w:r>
              <w:rPr>
                <w:sz w:val="24"/>
                <w:szCs w:val="24"/>
              </w:rPr>
              <w:t>уд</w:t>
            </w:r>
            <w:proofErr w:type="gramStart"/>
            <w:r>
              <w:rPr>
                <w:sz w:val="24"/>
                <w:szCs w:val="24"/>
              </w:rPr>
              <w:t>.</w:t>
            </w:r>
            <w:proofErr w:type="gramEnd"/>
            <w:r>
              <w:rPr>
                <w:sz w:val="24"/>
                <w:szCs w:val="24"/>
              </w:rPr>
              <w:t xml:space="preserve"> </w:t>
            </w:r>
            <w:proofErr w:type="gramStart"/>
            <w:r>
              <w:rPr>
                <w:sz w:val="24"/>
                <w:szCs w:val="24"/>
              </w:rPr>
              <w:t>в</w:t>
            </w:r>
            <w:proofErr w:type="gramEnd"/>
            <w:r>
              <w:rPr>
                <w:sz w:val="24"/>
                <w:szCs w:val="24"/>
              </w:rPr>
              <w:t>ес, %</w:t>
            </w:r>
          </w:p>
        </w:tc>
        <w:tc>
          <w:tcPr>
            <w:tcW w:w="1134" w:type="dxa"/>
            <w:vAlign w:val="center"/>
          </w:tcPr>
          <w:p w:rsidR="00CC55D9" w:rsidRDefault="00C17240">
            <w:pPr>
              <w:jc w:val="center"/>
              <w:rPr>
                <w:sz w:val="24"/>
                <w:szCs w:val="24"/>
              </w:rPr>
            </w:pPr>
            <w:r>
              <w:rPr>
                <w:sz w:val="24"/>
                <w:szCs w:val="24"/>
              </w:rPr>
              <w:t xml:space="preserve">сумма, </w:t>
            </w:r>
            <w:proofErr w:type="gramStart"/>
            <w:r>
              <w:rPr>
                <w:sz w:val="24"/>
                <w:szCs w:val="24"/>
              </w:rPr>
              <w:t>млрд</w:t>
            </w:r>
            <w:proofErr w:type="gramEnd"/>
            <w:r>
              <w:rPr>
                <w:sz w:val="24"/>
                <w:szCs w:val="24"/>
              </w:rPr>
              <w:t xml:space="preserve"> руб.</w:t>
            </w:r>
          </w:p>
        </w:tc>
        <w:tc>
          <w:tcPr>
            <w:tcW w:w="851" w:type="dxa"/>
          </w:tcPr>
          <w:p w:rsidR="00CC55D9" w:rsidRDefault="00C17240">
            <w:pPr>
              <w:jc w:val="center"/>
              <w:rPr>
                <w:sz w:val="24"/>
                <w:szCs w:val="24"/>
              </w:rPr>
            </w:pPr>
            <w:r>
              <w:rPr>
                <w:sz w:val="24"/>
                <w:szCs w:val="24"/>
              </w:rPr>
              <w:t>уд</w:t>
            </w:r>
            <w:proofErr w:type="gramStart"/>
            <w:r>
              <w:rPr>
                <w:sz w:val="24"/>
                <w:szCs w:val="24"/>
              </w:rPr>
              <w:t>.</w:t>
            </w:r>
            <w:proofErr w:type="gramEnd"/>
            <w:r>
              <w:rPr>
                <w:sz w:val="24"/>
                <w:szCs w:val="24"/>
              </w:rPr>
              <w:t xml:space="preserve"> </w:t>
            </w:r>
            <w:proofErr w:type="gramStart"/>
            <w:r>
              <w:rPr>
                <w:sz w:val="24"/>
                <w:szCs w:val="24"/>
              </w:rPr>
              <w:t>в</w:t>
            </w:r>
            <w:proofErr w:type="gramEnd"/>
            <w:r>
              <w:rPr>
                <w:sz w:val="24"/>
                <w:szCs w:val="24"/>
              </w:rPr>
              <w:t>ес, %</w:t>
            </w:r>
          </w:p>
        </w:tc>
        <w:tc>
          <w:tcPr>
            <w:tcW w:w="1093" w:type="dxa"/>
            <w:vAlign w:val="center"/>
          </w:tcPr>
          <w:p w:rsidR="00CC55D9" w:rsidRDefault="00C17240">
            <w:pPr>
              <w:jc w:val="center"/>
              <w:rPr>
                <w:sz w:val="24"/>
                <w:szCs w:val="24"/>
              </w:rPr>
            </w:pPr>
            <w:r>
              <w:rPr>
                <w:sz w:val="24"/>
                <w:szCs w:val="24"/>
              </w:rPr>
              <w:t xml:space="preserve">сумма, </w:t>
            </w:r>
            <w:proofErr w:type="gramStart"/>
            <w:r>
              <w:rPr>
                <w:sz w:val="24"/>
                <w:szCs w:val="24"/>
              </w:rPr>
              <w:t>млрд</w:t>
            </w:r>
            <w:proofErr w:type="gramEnd"/>
            <w:r>
              <w:rPr>
                <w:sz w:val="24"/>
                <w:szCs w:val="24"/>
              </w:rPr>
              <w:t xml:space="preserve"> руб.</w:t>
            </w:r>
          </w:p>
        </w:tc>
        <w:tc>
          <w:tcPr>
            <w:tcW w:w="756" w:type="dxa"/>
          </w:tcPr>
          <w:p w:rsidR="00CC55D9" w:rsidRDefault="00C17240">
            <w:pPr>
              <w:jc w:val="center"/>
              <w:rPr>
                <w:sz w:val="24"/>
                <w:szCs w:val="24"/>
              </w:rPr>
            </w:pPr>
            <w:r>
              <w:rPr>
                <w:sz w:val="24"/>
                <w:szCs w:val="24"/>
              </w:rPr>
              <w:t>уд</w:t>
            </w:r>
            <w:proofErr w:type="gramStart"/>
            <w:r>
              <w:rPr>
                <w:sz w:val="24"/>
                <w:szCs w:val="24"/>
              </w:rPr>
              <w:t>.</w:t>
            </w:r>
            <w:proofErr w:type="gramEnd"/>
            <w:r>
              <w:rPr>
                <w:sz w:val="24"/>
                <w:szCs w:val="24"/>
              </w:rPr>
              <w:t xml:space="preserve"> </w:t>
            </w:r>
            <w:proofErr w:type="gramStart"/>
            <w:r>
              <w:rPr>
                <w:sz w:val="24"/>
                <w:szCs w:val="24"/>
              </w:rPr>
              <w:t>в</w:t>
            </w:r>
            <w:proofErr w:type="gramEnd"/>
            <w:r>
              <w:rPr>
                <w:sz w:val="24"/>
                <w:szCs w:val="24"/>
              </w:rPr>
              <w:t>ес, %</w:t>
            </w:r>
          </w:p>
        </w:tc>
        <w:tc>
          <w:tcPr>
            <w:tcW w:w="980" w:type="dxa"/>
            <w:vMerge/>
            <w:vAlign w:val="center"/>
          </w:tcPr>
          <w:p w:rsidR="00CC55D9" w:rsidRDefault="00CC55D9">
            <w:pPr>
              <w:jc w:val="center"/>
              <w:rPr>
                <w:sz w:val="24"/>
                <w:szCs w:val="24"/>
              </w:rPr>
            </w:pPr>
          </w:p>
        </w:tc>
      </w:tr>
      <w:tr w:rsidR="00CC55D9">
        <w:tc>
          <w:tcPr>
            <w:tcW w:w="9345" w:type="dxa"/>
            <w:gridSpan w:val="8"/>
          </w:tcPr>
          <w:p w:rsidR="00CC55D9" w:rsidRDefault="00C17240">
            <w:pPr>
              <w:jc w:val="center"/>
              <w:rPr>
                <w:sz w:val="24"/>
                <w:szCs w:val="24"/>
              </w:rPr>
            </w:pPr>
            <w:r>
              <w:rPr>
                <w:sz w:val="24"/>
                <w:szCs w:val="24"/>
              </w:rPr>
              <w:t>Государственные внебюджетные фонды</w:t>
            </w:r>
          </w:p>
        </w:tc>
      </w:tr>
      <w:tr w:rsidR="00CC55D9">
        <w:tc>
          <w:tcPr>
            <w:tcW w:w="2547" w:type="dxa"/>
            <w:vAlign w:val="center"/>
          </w:tcPr>
          <w:p w:rsidR="00CC55D9" w:rsidRDefault="00C17240">
            <w:pPr>
              <w:rPr>
                <w:sz w:val="24"/>
                <w:szCs w:val="24"/>
              </w:rPr>
            </w:pPr>
            <w:r>
              <w:rPr>
                <w:sz w:val="24"/>
                <w:szCs w:val="24"/>
              </w:rPr>
              <w:t>Доходы</w:t>
            </w:r>
          </w:p>
        </w:tc>
        <w:tc>
          <w:tcPr>
            <w:tcW w:w="1134" w:type="dxa"/>
            <w:vAlign w:val="center"/>
          </w:tcPr>
          <w:p w:rsidR="00CC55D9" w:rsidRDefault="00C17240">
            <w:pPr>
              <w:jc w:val="center"/>
              <w:rPr>
                <w:sz w:val="24"/>
                <w:szCs w:val="24"/>
              </w:rPr>
            </w:pPr>
            <w:r>
              <w:rPr>
                <w:sz w:val="24"/>
                <w:szCs w:val="24"/>
              </w:rPr>
              <w:t>16426,8</w:t>
            </w:r>
          </w:p>
        </w:tc>
        <w:tc>
          <w:tcPr>
            <w:tcW w:w="850" w:type="dxa"/>
          </w:tcPr>
          <w:p w:rsidR="00CC55D9" w:rsidRDefault="00C17240">
            <w:pPr>
              <w:jc w:val="center"/>
              <w:rPr>
                <w:sz w:val="24"/>
                <w:szCs w:val="24"/>
              </w:rPr>
            </w:pPr>
            <w:r>
              <w:rPr>
                <w:sz w:val="24"/>
                <w:szCs w:val="24"/>
              </w:rPr>
              <w:t>100,0</w:t>
            </w:r>
          </w:p>
        </w:tc>
        <w:tc>
          <w:tcPr>
            <w:tcW w:w="1134" w:type="dxa"/>
            <w:vAlign w:val="center"/>
          </w:tcPr>
          <w:p w:rsidR="00CC55D9" w:rsidRDefault="00C17240">
            <w:pPr>
              <w:jc w:val="center"/>
              <w:rPr>
                <w:sz w:val="24"/>
                <w:szCs w:val="24"/>
              </w:rPr>
            </w:pPr>
            <w:r>
              <w:rPr>
                <w:sz w:val="24"/>
                <w:szCs w:val="24"/>
              </w:rPr>
              <w:t>16555,6</w:t>
            </w:r>
          </w:p>
        </w:tc>
        <w:tc>
          <w:tcPr>
            <w:tcW w:w="851" w:type="dxa"/>
          </w:tcPr>
          <w:p w:rsidR="00CC55D9" w:rsidRDefault="00C17240">
            <w:pPr>
              <w:jc w:val="center"/>
              <w:rPr>
                <w:sz w:val="24"/>
                <w:szCs w:val="24"/>
              </w:rPr>
            </w:pPr>
            <w:r>
              <w:rPr>
                <w:sz w:val="24"/>
                <w:szCs w:val="24"/>
              </w:rPr>
              <w:t>100,0</w:t>
            </w:r>
          </w:p>
        </w:tc>
        <w:tc>
          <w:tcPr>
            <w:tcW w:w="1093" w:type="dxa"/>
            <w:vAlign w:val="center"/>
          </w:tcPr>
          <w:p w:rsidR="00CC55D9" w:rsidRDefault="00C17240">
            <w:pPr>
              <w:jc w:val="center"/>
              <w:rPr>
                <w:sz w:val="24"/>
                <w:szCs w:val="24"/>
              </w:rPr>
            </w:pPr>
            <w:r>
              <w:rPr>
                <w:sz w:val="24"/>
                <w:szCs w:val="24"/>
              </w:rPr>
              <w:t>20701,1</w:t>
            </w:r>
          </w:p>
        </w:tc>
        <w:tc>
          <w:tcPr>
            <w:tcW w:w="756" w:type="dxa"/>
          </w:tcPr>
          <w:p w:rsidR="00CC55D9" w:rsidRDefault="00C17240">
            <w:pPr>
              <w:jc w:val="center"/>
              <w:rPr>
                <w:sz w:val="24"/>
                <w:szCs w:val="24"/>
              </w:rPr>
            </w:pPr>
            <w:r>
              <w:rPr>
                <w:sz w:val="24"/>
                <w:szCs w:val="24"/>
              </w:rPr>
              <w:t>100,0</w:t>
            </w:r>
          </w:p>
        </w:tc>
        <w:tc>
          <w:tcPr>
            <w:tcW w:w="980" w:type="dxa"/>
            <w:vAlign w:val="center"/>
          </w:tcPr>
          <w:p w:rsidR="00CC55D9" w:rsidRDefault="00C17240">
            <w:pPr>
              <w:jc w:val="center"/>
              <w:rPr>
                <w:sz w:val="24"/>
                <w:szCs w:val="24"/>
              </w:rPr>
            </w:pPr>
            <w:r>
              <w:rPr>
                <w:sz w:val="24"/>
                <w:szCs w:val="24"/>
              </w:rPr>
              <w:t>126,0</w:t>
            </w:r>
          </w:p>
        </w:tc>
      </w:tr>
      <w:tr w:rsidR="00CC55D9">
        <w:tc>
          <w:tcPr>
            <w:tcW w:w="2547" w:type="dxa"/>
            <w:vAlign w:val="center"/>
          </w:tcPr>
          <w:p w:rsidR="00CC55D9" w:rsidRDefault="00C17240">
            <w:pPr>
              <w:rPr>
                <w:sz w:val="24"/>
                <w:szCs w:val="24"/>
              </w:rPr>
            </w:pPr>
            <w:r>
              <w:rPr>
                <w:sz w:val="24"/>
                <w:szCs w:val="24"/>
              </w:rPr>
              <w:t>Расходы</w:t>
            </w:r>
          </w:p>
        </w:tc>
        <w:tc>
          <w:tcPr>
            <w:tcW w:w="1134" w:type="dxa"/>
            <w:vAlign w:val="center"/>
          </w:tcPr>
          <w:p w:rsidR="00CC55D9" w:rsidRDefault="00C17240">
            <w:pPr>
              <w:jc w:val="center"/>
              <w:rPr>
                <w:sz w:val="24"/>
                <w:szCs w:val="24"/>
              </w:rPr>
            </w:pPr>
            <w:r>
              <w:rPr>
                <w:sz w:val="24"/>
                <w:szCs w:val="24"/>
              </w:rPr>
              <w:t>15320,8</w:t>
            </w:r>
          </w:p>
        </w:tc>
        <w:tc>
          <w:tcPr>
            <w:tcW w:w="850" w:type="dxa"/>
          </w:tcPr>
          <w:p w:rsidR="00CC55D9" w:rsidRDefault="00C17240">
            <w:pPr>
              <w:jc w:val="center"/>
              <w:rPr>
                <w:sz w:val="24"/>
                <w:szCs w:val="24"/>
              </w:rPr>
            </w:pPr>
            <w:r>
              <w:rPr>
                <w:sz w:val="24"/>
                <w:szCs w:val="24"/>
              </w:rPr>
              <w:t>100,0</w:t>
            </w:r>
          </w:p>
        </w:tc>
        <w:tc>
          <w:tcPr>
            <w:tcW w:w="1134" w:type="dxa"/>
            <w:vAlign w:val="center"/>
          </w:tcPr>
          <w:p w:rsidR="00CC55D9" w:rsidRDefault="00C17240">
            <w:pPr>
              <w:jc w:val="center"/>
              <w:rPr>
                <w:sz w:val="24"/>
                <w:szCs w:val="24"/>
              </w:rPr>
            </w:pPr>
            <w:r>
              <w:rPr>
                <w:sz w:val="24"/>
                <w:szCs w:val="24"/>
              </w:rPr>
              <w:t>17044,2</w:t>
            </w:r>
          </w:p>
        </w:tc>
        <w:tc>
          <w:tcPr>
            <w:tcW w:w="851" w:type="dxa"/>
          </w:tcPr>
          <w:p w:rsidR="00CC55D9" w:rsidRDefault="00C17240">
            <w:pPr>
              <w:jc w:val="center"/>
              <w:rPr>
                <w:sz w:val="24"/>
                <w:szCs w:val="24"/>
              </w:rPr>
            </w:pPr>
            <w:r>
              <w:rPr>
                <w:sz w:val="24"/>
                <w:szCs w:val="24"/>
              </w:rPr>
              <w:t>100,0</w:t>
            </w:r>
          </w:p>
        </w:tc>
        <w:tc>
          <w:tcPr>
            <w:tcW w:w="1093" w:type="dxa"/>
            <w:vAlign w:val="center"/>
          </w:tcPr>
          <w:p w:rsidR="00CC55D9" w:rsidRDefault="00C17240">
            <w:pPr>
              <w:jc w:val="center"/>
              <w:rPr>
                <w:sz w:val="24"/>
                <w:szCs w:val="24"/>
              </w:rPr>
            </w:pPr>
            <w:r>
              <w:rPr>
                <w:sz w:val="24"/>
                <w:szCs w:val="24"/>
              </w:rPr>
              <w:t>20165,2</w:t>
            </w:r>
          </w:p>
        </w:tc>
        <w:tc>
          <w:tcPr>
            <w:tcW w:w="756" w:type="dxa"/>
          </w:tcPr>
          <w:p w:rsidR="00CC55D9" w:rsidRDefault="00C17240">
            <w:pPr>
              <w:jc w:val="center"/>
              <w:rPr>
                <w:sz w:val="24"/>
                <w:szCs w:val="24"/>
              </w:rPr>
            </w:pPr>
            <w:r>
              <w:rPr>
                <w:sz w:val="24"/>
                <w:szCs w:val="24"/>
              </w:rPr>
              <w:t>100,0</w:t>
            </w:r>
          </w:p>
        </w:tc>
        <w:tc>
          <w:tcPr>
            <w:tcW w:w="980" w:type="dxa"/>
            <w:vAlign w:val="center"/>
          </w:tcPr>
          <w:p w:rsidR="00CC55D9" w:rsidRDefault="00C17240">
            <w:pPr>
              <w:jc w:val="center"/>
              <w:rPr>
                <w:sz w:val="24"/>
                <w:szCs w:val="24"/>
              </w:rPr>
            </w:pPr>
            <w:r>
              <w:rPr>
                <w:sz w:val="24"/>
                <w:szCs w:val="24"/>
              </w:rPr>
              <w:t>131,6</w:t>
            </w:r>
          </w:p>
        </w:tc>
      </w:tr>
      <w:tr w:rsidR="00CC55D9">
        <w:tc>
          <w:tcPr>
            <w:tcW w:w="2547" w:type="dxa"/>
            <w:vAlign w:val="center"/>
          </w:tcPr>
          <w:p w:rsidR="00CC55D9" w:rsidRDefault="00C17240">
            <w:pPr>
              <w:rPr>
                <w:sz w:val="24"/>
                <w:szCs w:val="24"/>
              </w:rPr>
            </w:pPr>
            <w:proofErr w:type="gramStart"/>
            <w:r>
              <w:rPr>
                <w:sz w:val="24"/>
                <w:szCs w:val="24"/>
              </w:rPr>
              <w:t>Финансовый результат (дефицит (-) /профицит (+)</w:t>
            </w:r>
            <w:proofErr w:type="gramEnd"/>
          </w:p>
        </w:tc>
        <w:tc>
          <w:tcPr>
            <w:tcW w:w="1134" w:type="dxa"/>
            <w:vAlign w:val="center"/>
          </w:tcPr>
          <w:p w:rsidR="00CC55D9" w:rsidRDefault="00C17240">
            <w:pPr>
              <w:jc w:val="center"/>
              <w:rPr>
                <w:sz w:val="24"/>
                <w:szCs w:val="24"/>
              </w:rPr>
            </w:pPr>
            <w:r>
              <w:rPr>
                <w:sz w:val="24"/>
                <w:szCs w:val="24"/>
              </w:rPr>
              <w:t>1106,0</w:t>
            </w:r>
          </w:p>
        </w:tc>
        <w:tc>
          <w:tcPr>
            <w:tcW w:w="850" w:type="dxa"/>
            <w:vAlign w:val="center"/>
          </w:tcPr>
          <w:p w:rsidR="00CC55D9" w:rsidRDefault="00C17240">
            <w:pPr>
              <w:jc w:val="center"/>
              <w:rPr>
                <w:sz w:val="24"/>
                <w:szCs w:val="24"/>
              </w:rPr>
            </w:pPr>
            <w:r>
              <w:rPr>
                <w:sz w:val="24"/>
                <w:szCs w:val="24"/>
              </w:rPr>
              <w:t>-</w:t>
            </w:r>
          </w:p>
        </w:tc>
        <w:tc>
          <w:tcPr>
            <w:tcW w:w="1134" w:type="dxa"/>
            <w:vAlign w:val="center"/>
          </w:tcPr>
          <w:p w:rsidR="00CC55D9" w:rsidRDefault="00C17240">
            <w:pPr>
              <w:jc w:val="center"/>
              <w:rPr>
                <w:sz w:val="24"/>
                <w:szCs w:val="24"/>
              </w:rPr>
            </w:pPr>
            <w:r>
              <w:rPr>
                <w:sz w:val="24"/>
                <w:szCs w:val="24"/>
              </w:rPr>
              <w:t>-488,6</w:t>
            </w:r>
          </w:p>
        </w:tc>
        <w:tc>
          <w:tcPr>
            <w:tcW w:w="851" w:type="dxa"/>
            <w:vAlign w:val="center"/>
          </w:tcPr>
          <w:p w:rsidR="00CC55D9" w:rsidRDefault="00C17240">
            <w:pPr>
              <w:jc w:val="center"/>
              <w:rPr>
                <w:sz w:val="24"/>
                <w:szCs w:val="24"/>
              </w:rPr>
            </w:pPr>
            <w:r>
              <w:rPr>
                <w:sz w:val="24"/>
                <w:szCs w:val="24"/>
              </w:rPr>
              <w:t>-</w:t>
            </w:r>
          </w:p>
        </w:tc>
        <w:tc>
          <w:tcPr>
            <w:tcW w:w="1093" w:type="dxa"/>
            <w:vAlign w:val="center"/>
          </w:tcPr>
          <w:p w:rsidR="00CC55D9" w:rsidRDefault="00C17240">
            <w:pPr>
              <w:jc w:val="center"/>
              <w:rPr>
                <w:sz w:val="24"/>
                <w:szCs w:val="24"/>
              </w:rPr>
            </w:pPr>
            <w:r>
              <w:rPr>
                <w:sz w:val="24"/>
                <w:szCs w:val="24"/>
              </w:rPr>
              <w:t>535,9</w:t>
            </w:r>
          </w:p>
        </w:tc>
        <w:tc>
          <w:tcPr>
            <w:tcW w:w="756" w:type="dxa"/>
            <w:vAlign w:val="center"/>
          </w:tcPr>
          <w:p w:rsidR="00CC55D9" w:rsidRDefault="00C17240">
            <w:pPr>
              <w:jc w:val="center"/>
              <w:rPr>
                <w:sz w:val="24"/>
                <w:szCs w:val="24"/>
              </w:rPr>
            </w:pPr>
            <w:r>
              <w:rPr>
                <w:sz w:val="24"/>
                <w:szCs w:val="24"/>
              </w:rPr>
              <w:t>-</w:t>
            </w:r>
          </w:p>
        </w:tc>
        <w:tc>
          <w:tcPr>
            <w:tcW w:w="980" w:type="dxa"/>
            <w:vAlign w:val="center"/>
          </w:tcPr>
          <w:p w:rsidR="00CC55D9" w:rsidRDefault="00C17240">
            <w:pPr>
              <w:jc w:val="center"/>
              <w:rPr>
                <w:sz w:val="24"/>
                <w:szCs w:val="24"/>
              </w:rPr>
            </w:pPr>
            <w:r>
              <w:rPr>
                <w:sz w:val="24"/>
                <w:szCs w:val="24"/>
              </w:rPr>
              <w:t>-</w:t>
            </w:r>
          </w:p>
        </w:tc>
      </w:tr>
      <w:tr w:rsidR="00CC55D9">
        <w:tc>
          <w:tcPr>
            <w:tcW w:w="9345" w:type="dxa"/>
            <w:gridSpan w:val="8"/>
          </w:tcPr>
          <w:p w:rsidR="00CC55D9" w:rsidRDefault="00C17240">
            <w:pPr>
              <w:jc w:val="center"/>
              <w:rPr>
                <w:sz w:val="24"/>
                <w:szCs w:val="24"/>
              </w:rPr>
            </w:pPr>
            <w:r>
              <w:rPr>
                <w:sz w:val="24"/>
                <w:szCs w:val="24"/>
              </w:rPr>
              <w:t>Фонд пенсионного и социального страхования РФ</w:t>
            </w:r>
          </w:p>
        </w:tc>
      </w:tr>
      <w:tr w:rsidR="00CC55D9">
        <w:tc>
          <w:tcPr>
            <w:tcW w:w="2547" w:type="dxa"/>
          </w:tcPr>
          <w:p w:rsidR="00CC55D9" w:rsidRDefault="00C17240">
            <w:pPr>
              <w:rPr>
                <w:sz w:val="24"/>
                <w:szCs w:val="24"/>
              </w:rPr>
            </w:pPr>
            <w:r>
              <w:rPr>
                <w:sz w:val="24"/>
                <w:szCs w:val="24"/>
              </w:rPr>
              <w:t>Доходы</w:t>
            </w:r>
          </w:p>
        </w:tc>
        <w:tc>
          <w:tcPr>
            <w:tcW w:w="1134" w:type="dxa"/>
            <w:vAlign w:val="center"/>
          </w:tcPr>
          <w:p w:rsidR="00CC55D9" w:rsidRDefault="00C17240">
            <w:pPr>
              <w:jc w:val="center"/>
              <w:rPr>
                <w:sz w:val="24"/>
                <w:szCs w:val="24"/>
              </w:rPr>
            </w:pPr>
            <w:r>
              <w:rPr>
                <w:sz w:val="24"/>
                <w:szCs w:val="24"/>
              </w:rPr>
              <w:t>-</w:t>
            </w:r>
          </w:p>
        </w:tc>
        <w:tc>
          <w:tcPr>
            <w:tcW w:w="850" w:type="dxa"/>
            <w:vAlign w:val="center"/>
          </w:tcPr>
          <w:p w:rsidR="00CC55D9" w:rsidRDefault="00C17240">
            <w:pPr>
              <w:jc w:val="center"/>
              <w:rPr>
                <w:sz w:val="24"/>
                <w:szCs w:val="24"/>
              </w:rPr>
            </w:pPr>
            <w:r>
              <w:rPr>
                <w:sz w:val="24"/>
                <w:szCs w:val="24"/>
              </w:rPr>
              <w:t>-</w:t>
            </w:r>
          </w:p>
        </w:tc>
        <w:tc>
          <w:tcPr>
            <w:tcW w:w="1134" w:type="dxa"/>
            <w:vAlign w:val="center"/>
          </w:tcPr>
          <w:p w:rsidR="00CC55D9" w:rsidRDefault="00C17240">
            <w:pPr>
              <w:jc w:val="center"/>
              <w:rPr>
                <w:sz w:val="24"/>
                <w:szCs w:val="24"/>
              </w:rPr>
            </w:pPr>
            <w:r>
              <w:rPr>
                <w:sz w:val="24"/>
                <w:szCs w:val="24"/>
              </w:rPr>
              <w:t>13264,9</w:t>
            </w:r>
          </w:p>
        </w:tc>
        <w:tc>
          <w:tcPr>
            <w:tcW w:w="851" w:type="dxa"/>
            <w:vAlign w:val="center"/>
          </w:tcPr>
          <w:p w:rsidR="00CC55D9" w:rsidRDefault="00C17240">
            <w:pPr>
              <w:jc w:val="center"/>
              <w:rPr>
                <w:sz w:val="24"/>
                <w:szCs w:val="24"/>
              </w:rPr>
            </w:pPr>
            <w:r>
              <w:rPr>
                <w:sz w:val="24"/>
                <w:szCs w:val="24"/>
              </w:rPr>
              <w:t>80,1</w:t>
            </w:r>
          </w:p>
        </w:tc>
        <w:tc>
          <w:tcPr>
            <w:tcW w:w="1093" w:type="dxa"/>
            <w:vAlign w:val="center"/>
          </w:tcPr>
          <w:p w:rsidR="00CC55D9" w:rsidRDefault="00C17240">
            <w:pPr>
              <w:jc w:val="center"/>
              <w:rPr>
                <w:sz w:val="24"/>
                <w:szCs w:val="24"/>
              </w:rPr>
            </w:pPr>
            <w:r>
              <w:rPr>
                <w:sz w:val="24"/>
                <w:szCs w:val="24"/>
              </w:rPr>
              <w:t>16830,7</w:t>
            </w:r>
          </w:p>
        </w:tc>
        <w:tc>
          <w:tcPr>
            <w:tcW w:w="756" w:type="dxa"/>
            <w:vAlign w:val="center"/>
          </w:tcPr>
          <w:p w:rsidR="00CC55D9" w:rsidRDefault="00C17240">
            <w:pPr>
              <w:jc w:val="center"/>
              <w:rPr>
                <w:sz w:val="24"/>
                <w:szCs w:val="24"/>
              </w:rPr>
            </w:pPr>
            <w:r>
              <w:rPr>
                <w:sz w:val="24"/>
                <w:szCs w:val="24"/>
              </w:rPr>
              <w:t>81,3</w:t>
            </w:r>
          </w:p>
        </w:tc>
        <w:tc>
          <w:tcPr>
            <w:tcW w:w="980" w:type="dxa"/>
            <w:vAlign w:val="center"/>
          </w:tcPr>
          <w:p w:rsidR="00CC55D9" w:rsidRDefault="00C17240">
            <w:pPr>
              <w:jc w:val="center"/>
              <w:rPr>
                <w:sz w:val="24"/>
                <w:szCs w:val="24"/>
              </w:rPr>
            </w:pPr>
            <w:r>
              <w:rPr>
                <w:sz w:val="24"/>
                <w:szCs w:val="24"/>
              </w:rPr>
              <w:t>-</w:t>
            </w:r>
          </w:p>
        </w:tc>
      </w:tr>
      <w:tr w:rsidR="00CC55D9">
        <w:tc>
          <w:tcPr>
            <w:tcW w:w="2547" w:type="dxa"/>
          </w:tcPr>
          <w:p w:rsidR="00CC55D9" w:rsidRDefault="00C17240">
            <w:pPr>
              <w:rPr>
                <w:sz w:val="24"/>
                <w:szCs w:val="24"/>
              </w:rPr>
            </w:pPr>
            <w:r>
              <w:rPr>
                <w:sz w:val="24"/>
                <w:szCs w:val="24"/>
              </w:rPr>
              <w:t>Расходы</w:t>
            </w:r>
          </w:p>
        </w:tc>
        <w:tc>
          <w:tcPr>
            <w:tcW w:w="1134" w:type="dxa"/>
            <w:vAlign w:val="center"/>
          </w:tcPr>
          <w:p w:rsidR="00CC55D9" w:rsidRDefault="00C17240">
            <w:pPr>
              <w:jc w:val="center"/>
              <w:rPr>
                <w:sz w:val="24"/>
                <w:szCs w:val="24"/>
              </w:rPr>
            </w:pPr>
            <w:r>
              <w:rPr>
                <w:sz w:val="24"/>
                <w:szCs w:val="24"/>
              </w:rPr>
              <w:t>-</w:t>
            </w:r>
          </w:p>
        </w:tc>
        <w:tc>
          <w:tcPr>
            <w:tcW w:w="850" w:type="dxa"/>
            <w:vAlign w:val="center"/>
          </w:tcPr>
          <w:p w:rsidR="00CC55D9" w:rsidRDefault="00C17240">
            <w:pPr>
              <w:jc w:val="center"/>
              <w:rPr>
                <w:sz w:val="24"/>
                <w:szCs w:val="24"/>
              </w:rPr>
            </w:pPr>
            <w:r>
              <w:rPr>
                <w:sz w:val="24"/>
                <w:szCs w:val="24"/>
              </w:rPr>
              <w:t>-</w:t>
            </w:r>
          </w:p>
        </w:tc>
        <w:tc>
          <w:tcPr>
            <w:tcW w:w="1134" w:type="dxa"/>
            <w:vAlign w:val="center"/>
          </w:tcPr>
          <w:p w:rsidR="00CC55D9" w:rsidRDefault="00C17240">
            <w:pPr>
              <w:jc w:val="center"/>
              <w:rPr>
                <w:sz w:val="24"/>
                <w:szCs w:val="24"/>
              </w:rPr>
            </w:pPr>
            <w:r>
              <w:rPr>
                <w:sz w:val="24"/>
                <w:szCs w:val="24"/>
              </w:rPr>
              <w:t>13858,3</w:t>
            </w:r>
          </w:p>
        </w:tc>
        <w:tc>
          <w:tcPr>
            <w:tcW w:w="851" w:type="dxa"/>
            <w:vAlign w:val="center"/>
          </w:tcPr>
          <w:p w:rsidR="00CC55D9" w:rsidRDefault="00C17240">
            <w:pPr>
              <w:jc w:val="center"/>
              <w:rPr>
                <w:sz w:val="24"/>
                <w:szCs w:val="24"/>
              </w:rPr>
            </w:pPr>
            <w:r>
              <w:rPr>
                <w:sz w:val="24"/>
                <w:szCs w:val="24"/>
              </w:rPr>
              <w:t>81,3</w:t>
            </w:r>
          </w:p>
        </w:tc>
        <w:tc>
          <w:tcPr>
            <w:tcW w:w="1093" w:type="dxa"/>
            <w:vAlign w:val="center"/>
          </w:tcPr>
          <w:p w:rsidR="00CC55D9" w:rsidRDefault="00C17240">
            <w:pPr>
              <w:jc w:val="center"/>
              <w:rPr>
                <w:sz w:val="24"/>
                <w:szCs w:val="24"/>
              </w:rPr>
            </w:pPr>
            <w:r>
              <w:rPr>
                <w:sz w:val="24"/>
                <w:szCs w:val="24"/>
              </w:rPr>
              <w:t>16275,8</w:t>
            </w:r>
          </w:p>
        </w:tc>
        <w:tc>
          <w:tcPr>
            <w:tcW w:w="756" w:type="dxa"/>
            <w:vAlign w:val="center"/>
          </w:tcPr>
          <w:p w:rsidR="00CC55D9" w:rsidRDefault="00C17240">
            <w:pPr>
              <w:jc w:val="center"/>
              <w:rPr>
                <w:sz w:val="24"/>
                <w:szCs w:val="24"/>
              </w:rPr>
            </w:pPr>
            <w:r>
              <w:rPr>
                <w:sz w:val="24"/>
                <w:szCs w:val="24"/>
              </w:rPr>
              <w:t>80,7</w:t>
            </w:r>
          </w:p>
        </w:tc>
        <w:tc>
          <w:tcPr>
            <w:tcW w:w="980" w:type="dxa"/>
            <w:vAlign w:val="center"/>
          </w:tcPr>
          <w:p w:rsidR="00CC55D9" w:rsidRDefault="00C17240">
            <w:pPr>
              <w:jc w:val="center"/>
              <w:rPr>
                <w:sz w:val="24"/>
                <w:szCs w:val="24"/>
              </w:rPr>
            </w:pPr>
            <w:r>
              <w:rPr>
                <w:sz w:val="24"/>
                <w:szCs w:val="24"/>
              </w:rPr>
              <w:t>-</w:t>
            </w:r>
          </w:p>
        </w:tc>
      </w:tr>
      <w:tr w:rsidR="00CC55D9">
        <w:tc>
          <w:tcPr>
            <w:tcW w:w="2547" w:type="dxa"/>
          </w:tcPr>
          <w:p w:rsidR="00CC55D9" w:rsidRDefault="00C17240">
            <w:pPr>
              <w:rPr>
                <w:sz w:val="24"/>
                <w:szCs w:val="24"/>
              </w:rPr>
            </w:pPr>
            <w:proofErr w:type="gramStart"/>
            <w:r>
              <w:rPr>
                <w:sz w:val="24"/>
                <w:szCs w:val="24"/>
              </w:rPr>
              <w:t>Финансовый результат (дефицит (-) /профицит (+)</w:t>
            </w:r>
            <w:proofErr w:type="gramEnd"/>
          </w:p>
        </w:tc>
        <w:tc>
          <w:tcPr>
            <w:tcW w:w="1134" w:type="dxa"/>
            <w:vAlign w:val="center"/>
          </w:tcPr>
          <w:p w:rsidR="00CC55D9" w:rsidRDefault="00C17240">
            <w:pPr>
              <w:jc w:val="center"/>
              <w:rPr>
                <w:sz w:val="24"/>
                <w:szCs w:val="24"/>
              </w:rPr>
            </w:pPr>
            <w:r>
              <w:rPr>
                <w:sz w:val="24"/>
                <w:szCs w:val="24"/>
              </w:rPr>
              <w:t>-</w:t>
            </w:r>
          </w:p>
        </w:tc>
        <w:tc>
          <w:tcPr>
            <w:tcW w:w="850" w:type="dxa"/>
            <w:vAlign w:val="center"/>
          </w:tcPr>
          <w:p w:rsidR="00CC55D9" w:rsidRDefault="00C17240">
            <w:pPr>
              <w:jc w:val="center"/>
              <w:rPr>
                <w:sz w:val="24"/>
                <w:szCs w:val="24"/>
              </w:rPr>
            </w:pPr>
            <w:r>
              <w:rPr>
                <w:sz w:val="24"/>
                <w:szCs w:val="24"/>
              </w:rPr>
              <w:t>-</w:t>
            </w:r>
          </w:p>
        </w:tc>
        <w:tc>
          <w:tcPr>
            <w:tcW w:w="1134" w:type="dxa"/>
            <w:vAlign w:val="center"/>
          </w:tcPr>
          <w:p w:rsidR="00CC55D9" w:rsidRDefault="00C17240">
            <w:pPr>
              <w:jc w:val="center"/>
              <w:rPr>
                <w:sz w:val="24"/>
                <w:szCs w:val="24"/>
              </w:rPr>
            </w:pPr>
            <w:r>
              <w:rPr>
                <w:sz w:val="24"/>
                <w:szCs w:val="24"/>
              </w:rPr>
              <w:t>-593,4</w:t>
            </w:r>
          </w:p>
        </w:tc>
        <w:tc>
          <w:tcPr>
            <w:tcW w:w="851" w:type="dxa"/>
            <w:vAlign w:val="center"/>
          </w:tcPr>
          <w:p w:rsidR="00CC55D9" w:rsidRDefault="00C17240">
            <w:pPr>
              <w:jc w:val="center"/>
              <w:rPr>
                <w:sz w:val="24"/>
                <w:szCs w:val="24"/>
              </w:rPr>
            </w:pPr>
            <w:r>
              <w:rPr>
                <w:sz w:val="24"/>
                <w:szCs w:val="24"/>
              </w:rPr>
              <w:t>-</w:t>
            </w:r>
          </w:p>
        </w:tc>
        <w:tc>
          <w:tcPr>
            <w:tcW w:w="1093" w:type="dxa"/>
            <w:vAlign w:val="center"/>
          </w:tcPr>
          <w:p w:rsidR="00CC55D9" w:rsidRDefault="00C17240">
            <w:pPr>
              <w:jc w:val="center"/>
              <w:rPr>
                <w:sz w:val="24"/>
                <w:szCs w:val="24"/>
              </w:rPr>
            </w:pPr>
            <w:r>
              <w:rPr>
                <w:sz w:val="24"/>
                <w:szCs w:val="24"/>
              </w:rPr>
              <w:t>554,9</w:t>
            </w:r>
          </w:p>
        </w:tc>
        <w:tc>
          <w:tcPr>
            <w:tcW w:w="756" w:type="dxa"/>
            <w:vAlign w:val="center"/>
          </w:tcPr>
          <w:p w:rsidR="00CC55D9" w:rsidRDefault="00C17240">
            <w:pPr>
              <w:jc w:val="center"/>
              <w:rPr>
                <w:sz w:val="24"/>
                <w:szCs w:val="24"/>
              </w:rPr>
            </w:pPr>
            <w:r>
              <w:rPr>
                <w:sz w:val="24"/>
                <w:szCs w:val="24"/>
              </w:rPr>
              <w:t>-</w:t>
            </w:r>
          </w:p>
        </w:tc>
        <w:tc>
          <w:tcPr>
            <w:tcW w:w="980" w:type="dxa"/>
            <w:vAlign w:val="center"/>
          </w:tcPr>
          <w:p w:rsidR="00CC55D9" w:rsidRDefault="00C17240">
            <w:pPr>
              <w:jc w:val="center"/>
              <w:rPr>
                <w:sz w:val="24"/>
                <w:szCs w:val="24"/>
              </w:rPr>
            </w:pPr>
            <w:r>
              <w:rPr>
                <w:sz w:val="24"/>
                <w:szCs w:val="24"/>
              </w:rPr>
              <w:t>-</w:t>
            </w:r>
          </w:p>
        </w:tc>
      </w:tr>
      <w:tr w:rsidR="00CC55D9">
        <w:tc>
          <w:tcPr>
            <w:tcW w:w="9345" w:type="dxa"/>
            <w:gridSpan w:val="8"/>
          </w:tcPr>
          <w:p w:rsidR="00CC55D9" w:rsidRDefault="00C17240">
            <w:pPr>
              <w:jc w:val="center"/>
              <w:rPr>
                <w:sz w:val="24"/>
                <w:szCs w:val="24"/>
              </w:rPr>
            </w:pPr>
            <w:r>
              <w:rPr>
                <w:sz w:val="24"/>
                <w:szCs w:val="24"/>
              </w:rPr>
              <w:t>Пенсионный фонд РФ</w:t>
            </w:r>
          </w:p>
        </w:tc>
      </w:tr>
      <w:tr w:rsidR="00CC55D9">
        <w:tc>
          <w:tcPr>
            <w:tcW w:w="2547" w:type="dxa"/>
            <w:vAlign w:val="center"/>
          </w:tcPr>
          <w:p w:rsidR="00CC55D9" w:rsidRDefault="00C17240">
            <w:pPr>
              <w:rPr>
                <w:sz w:val="24"/>
                <w:szCs w:val="24"/>
              </w:rPr>
            </w:pPr>
            <w:r>
              <w:rPr>
                <w:sz w:val="24"/>
                <w:szCs w:val="24"/>
              </w:rPr>
              <w:t>Доходы</w:t>
            </w:r>
          </w:p>
        </w:tc>
        <w:tc>
          <w:tcPr>
            <w:tcW w:w="1134" w:type="dxa"/>
            <w:vAlign w:val="center"/>
          </w:tcPr>
          <w:p w:rsidR="00CC55D9" w:rsidRDefault="00C17240">
            <w:pPr>
              <w:jc w:val="center"/>
              <w:rPr>
                <w:sz w:val="24"/>
                <w:szCs w:val="24"/>
              </w:rPr>
            </w:pPr>
            <w:r>
              <w:rPr>
                <w:sz w:val="24"/>
                <w:szCs w:val="24"/>
              </w:rPr>
              <w:t>12477,8</w:t>
            </w:r>
          </w:p>
        </w:tc>
        <w:tc>
          <w:tcPr>
            <w:tcW w:w="850" w:type="dxa"/>
            <w:vAlign w:val="center"/>
          </w:tcPr>
          <w:p w:rsidR="00CC55D9" w:rsidRDefault="00C17240">
            <w:pPr>
              <w:jc w:val="center"/>
              <w:rPr>
                <w:sz w:val="24"/>
                <w:szCs w:val="24"/>
              </w:rPr>
            </w:pPr>
            <w:r>
              <w:rPr>
                <w:sz w:val="24"/>
                <w:szCs w:val="24"/>
              </w:rPr>
              <w:t>76,0</w:t>
            </w:r>
          </w:p>
        </w:tc>
        <w:tc>
          <w:tcPr>
            <w:tcW w:w="1134" w:type="dxa"/>
            <w:vAlign w:val="center"/>
          </w:tcPr>
          <w:p w:rsidR="00CC55D9" w:rsidRDefault="00C17240">
            <w:pPr>
              <w:jc w:val="center"/>
              <w:rPr>
                <w:sz w:val="24"/>
                <w:szCs w:val="24"/>
              </w:rPr>
            </w:pPr>
            <w:r>
              <w:rPr>
                <w:sz w:val="24"/>
                <w:szCs w:val="24"/>
              </w:rPr>
              <w:t>-</w:t>
            </w:r>
          </w:p>
        </w:tc>
        <w:tc>
          <w:tcPr>
            <w:tcW w:w="851" w:type="dxa"/>
            <w:vAlign w:val="center"/>
          </w:tcPr>
          <w:p w:rsidR="00CC55D9" w:rsidRDefault="00C17240">
            <w:pPr>
              <w:jc w:val="center"/>
              <w:rPr>
                <w:sz w:val="24"/>
                <w:szCs w:val="24"/>
              </w:rPr>
            </w:pPr>
            <w:r>
              <w:rPr>
                <w:sz w:val="24"/>
                <w:szCs w:val="24"/>
              </w:rPr>
              <w:t>-</w:t>
            </w:r>
          </w:p>
        </w:tc>
        <w:tc>
          <w:tcPr>
            <w:tcW w:w="1093" w:type="dxa"/>
            <w:vAlign w:val="center"/>
          </w:tcPr>
          <w:p w:rsidR="00CC55D9" w:rsidRDefault="00C17240">
            <w:pPr>
              <w:jc w:val="center"/>
              <w:rPr>
                <w:sz w:val="24"/>
                <w:szCs w:val="24"/>
              </w:rPr>
            </w:pPr>
            <w:r>
              <w:rPr>
                <w:sz w:val="24"/>
                <w:szCs w:val="24"/>
              </w:rPr>
              <w:t>-</w:t>
            </w:r>
          </w:p>
        </w:tc>
        <w:tc>
          <w:tcPr>
            <w:tcW w:w="756" w:type="dxa"/>
            <w:vAlign w:val="center"/>
          </w:tcPr>
          <w:p w:rsidR="00CC55D9" w:rsidRDefault="00C17240">
            <w:pPr>
              <w:jc w:val="center"/>
              <w:rPr>
                <w:sz w:val="24"/>
                <w:szCs w:val="24"/>
              </w:rPr>
            </w:pPr>
            <w:r>
              <w:rPr>
                <w:sz w:val="24"/>
                <w:szCs w:val="24"/>
              </w:rPr>
              <w:t>-</w:t>
            </w:r>
          </w:p>
        </w:tc>
        <w:tc>
          <w:tcPr>
            <w:tcW w:w="980" w:type="dxa"/>
            <w:vAlign w:val="center"/>
          </w:tcPr>
          <w:p w:rsidR="00CC55D9" w:rsidRDefault="00C17240">
            <w:pPr>
              <w:jc w:val="center"/>
              <w:rPr>
                <w:sz w:val="24"/>
                <w:szCs w:val="24"/>
              </w:rPr>
            </w:pPr>
            <w:r>
              <w:rPr>
                <w:sz w:val="24"/>
                <w:szCs w:val="24"/>
              </w:rPr>
              <w:t>-</w:t>
            </w:r>
          </w:p>
        </w:tc>
      </w:tr>
      <w:tr w:rsidR="00CC55D9">
        <w:tc>
          <w:tcPr>
            <w:tcW w:w="2547" w:type="dxa"/>
            <w:vAlign w:val="center"/>
          </w:tcPr>
          <w:p w:rsidR="00CC55D9" w:rsidRDefault="00C17240">
            <w:pPr>
              <w:rPr>
                <w:sz w:val="24"/>
                <w:szCs w:val="24"/>
              </w:rPr>
            </w:pPr>
            <w:r>
              <w:rPr>
                <w:sz w:val="24"/>
                <w:szCs w:val="24"/>
              </w:rPr>
              <w:t>Расходы</w:t>
            </w:r>
          </w:p>
        </w:tc>
        <w:tc>
          <w:tcPr>
            <w:tcW w:w="1134" w:type="dxa"/>
            <w:vAlign w:val="center"/>
          </w:tcPr>
          <w:p w:rsidR="00CC55D9" w:rsidRDefault="00C17240">
            <w:pPr>
              <w:jc w:val="center"/>
              <w:rPr>
                <w:sz w:val="24"/>
                <w:szCs w:val="24"/>
              </w:rPr>
            </w:pPr>
            <w:r>
              <w:rPr>
                <w:sz w:val="24"/>
                <w:szCs w:val="24"/>
              </w:rPr>
              <w:t>11374,3</w:t>
            </w:r>
          </w:p>
        </w:tc>
        <w:tc>
          <w:tcPr>
            <w:tcW w:w="850" w:type="dxa"/>
            <w:vAlign w:val="center"/>
          </w:tcPr>
          <w:p w:rsidR="00CC55D9" w:rsidRDefault="00C17240">
            <w:pPr>
              <w:jc w:val="center"/>
              <w:rPr>
                <w:sz w:val="24"/>
                <w:szCs w:val="24"/>
              </w:rPr>
            </w:pPr>
            <w:r>
              <w:rPr>
                <w:sz w:val="24"/>
                <w:szCs w:val="24"/>
              </w:rPr>
              <w:t>74,2</w:t>
            </w:r>
          </w:p>
        </w:tc>
        <w:tc>
          <w:tcPr>
            <w:tcW w:w="1134" w:type="dxa"/>
            <w:vAlign w:val="center"/>
          </w:tcPr>
          <w:p w:rsidR="00CC55D9" w:rsidRDefault="00C17240">
            <w:pPr>
              <w:jc w:val="center"/>
              <w:rPr>
                <w:sz w:val="24"/>
                <w:szCs w:val="24"/>
              </w:rPr>
            </w:pPr>
            <w:r>
              <w:rPr>
                <w:sz w:val="24"/>
                <w:szCs w:val="24"/>
              </w:rPr>
              <w:t>-</w:t>
            </w:r>
          </w:p>
        </w:tc>
        <w:tc>
          <w:tcPr>
            <w:tcW w:w="851" w:type="dxa"/>
            <w:vAlign w:val="center"/>
          </w:tcPr>
          <w:p w:rsidR="00CC55D9" w:rsidRDefault="00C17240">
            <w:pPr>
              <w:jc w:val="center"/>
              <w:rPr>
                <w:sz w:val="24"/>
                <w:szCs w:val="24"/>
              </w:rPr>
            </w:pPr>
            <w:r>
              <w:rPr>
                <w:sz w:val="24"/>
                <w:szCs w:val="24"/>
              </w:rPr>
              <w:t>-</w:t>
            </w:r>
          </w:p>
        </w:tc>
        <w:tc>
          <w:tcPr>
            <w:tcW w:w="1093" w:type="dxa"/>
            <w:vAlign w:val="center"/>
          </w:tcPr>
          <w:p w:rsidR="00CC55D9" w:rsidRDefault="00C17240">
            <w:pPr>
              <w:jc w:val="center"/>
              <w:rPr>
                <w:sz w:val="24"/>
                <w:szCs w:val="24"/>
              </w:rPr>
            </w:pPr>
            <w:r>
              <w:rPr>
                <w:sz w:val="24"/>
                <w:szCs w:val="24"/>
              </w:rPr>
              <w:t>-</w:t>
            </w:r>
          </w:p>
        </w:tc>
        <w:tc>
          <w:tcPr>
            <w:tcW w:w="756" w:type="dxa"/>
            <w:vAlign w:val="center"/>
          </w:tcPr>
          <w:p w:rsidR="00CC55D9" w:rsidRDefault="00C17240">
            <w:pPr>
              <w:jc w:val="center"/>
              <w:rPr>
                <w:sz w:val="24"/>
                <w:szCs w:val="24"/>
              </w:rPr>
            </w:pPr>
            <w:r>
              <w:rPr>
                <w:sz w:val="24"/>
                <w:szCs w:val="24"/>
              </w:rPr>
              <w:t>-</w:t>
            </w:r>
          </w:p>
        </w:tc>
        <w:tc>
          <w:tcPr>
            <w:tcW w:w="980" w:type="dxa"/>
            <w:vAlign w:val="center"/>
          </w:tcPr>
          <w:p w:rsidR="00CC55D9" w:rsidRDefault="00C17240">
            <w:pPr>
              <w:jc w:val="center"/>
              <w:rPr>
                <w:sz w:val="24"/>
                <w:szCs w:val="24"/>
              </w:rPr>
            </w:pPr>
            <w:r>
              <w:rPr>
                <w:sz w:val="24"/>
                <w:szCs w:val="24"/>
              </w:rPr>
              <w:t>-</w:t>
            </w:r>
          </w:p>
        </w:tc>
      </w:tr>
      <w:tr w:rsidR="00CC55D9">
        <w:tc>
          <w:tcPr>
            <w:tcW w:w="2547" w:type="dxa"/>
            <w:vAlign w:val="center"/>
          </w:tcPr>
          <w:p w:rsidR="00CC55D9" w:rsidRDefault="00C17240">
            <w:pPr>
              <w:rPr>
                <w:sz w:val="24"/>
                <w:szCs w:val="24"/>
              </w:rPr>
            </w:pPr>
            <w:proofErr w:type="gramStart"/>
            <w:r>
              <w:rPr>
                <w:sz w:val="24"/>
                <w:szCs w:val="24"/>
              </w:rPr>
              <w:t>Финансовый результат (дефицит (-) /профицит (+)</w:t>
            </w:r>
            <w:proofErr w:type="gramEnd"/>
          </w:p>
        </w:tc>
        <w:tc>
          <w:tcPr>
            <w:tcW w:w="1134" w:type="dxa"/>
            <w:vAlign w:val="center"/>
          </w:tcPr>
          <w:p w:rsidR="00CC55D9" w:rsidRDefault="00C17240">
            <w:pPr>
              <w:jc w:val="center"/>
              <w:rPr>
                <w:sz w:val="24"/>
                <w:szCs w:val="24"/>
              </w:rPr>
            </w:pPr>
            <w:r>
              <w:rPr>
                <w:sz w:val="24"/>
                <w:szCs w:val="24"/>
              </w:rPr>
              <w:t>1103,5</w:t>
            </w:r>
          </w:p>
        </w:tc>
        <w:tc>
          <w:tcPr>
            <w:tcW w:w="850" w:type="dxa"/>
            <w:vAlign w:val="center"/>
          </w:tcPr>
          <w:p w:rsidR="00CC55D9" w:rsidRDefault="00C17240">
            <w:pPr>
              <w:jc w:val="center"/>
              <w:rPr>
                <w:sz w:val="24"/>
                <w:szCs w:val="24"/>
              </w:rPr>
            </w:pPr>
            <w:r>
              <w:rPr>
                <w:sz w:val="24"/>
                <w:szCs w:val="24"/>
              </w:rPr>
              <w:t>-</w:t>
            </w:r>
          </w:p>
        </w:tc>
        <w:tc>
          <w:tcPr>
            <w:tcW w:w="1134" w:type="dxa"/>
            <w:vAlign w:val="center"/>
          </w:tcPr>
          <w:p w:rsidR="00CC55D9" w:rsidRDefault="00C17240">
            <w:pPr>
              <w:jc w:val="center"/>
              <w:rPr>
                <w:sz w:val="24"/>
                <w:szCs w:val="24"/>
              </w:rPr>
            </w:pPr>
            <w:r>
              <w:rPr>
                <w:sz w:val="24"/>
                <w:szCs w:val="24"/>
              </w:rPr>
              <w:t>-</w:t>
            </w:r>
          </w:p>
        </w:tc>
        <w:tc>
          <w:tcPr>
            <w:tcW w:w="851" w:type="dxa"/>
            <w:vAlign w:val="center"/>
          </w:tcPr>
          <w:p w:rsidR="00CC55D9" w:rsidRDefault="00C17240">
            <w:pPr>
              <w:jc w:val="center"/>
              <w:rPr>
                <w:sz w:val="24"/>
                <w:szCs w:val="24"/>
              </w:rPr>
            </w:pPr>
            <w:r>
              <w:rPr>
                <w:sz w:val="24"/>
                <w:szCs w:val="24"/>
              </w:rPr>
              <w:t>-</w:t>
            </w:r>
          </w:p>
        </w:tc>
        <w:tc>
          <w:tcPr>
            <w:tcW w:w="1093" w:type="dxa"/>
            <w:vAlign w:val="center"/>
          </w:tcPr>
          <w:p w:rsidR="00CC55D9" w:rsidRDefault="00C17240">
            <w:pPr>
              <w:jc w:val="center"/>
              <w:rPr>
                <w:sz w:val="24"/>
                <w:szCs w:val="24"/>
              </w:rPr>
            </w:pPr>
            <w:r>
              <w:rPr>
                <w:sz w:val="24"/>
                <w:szCs w:val="24"/>
              </w:rPr>
              <w:t>-</w:t>
            </w:r>
          </w:p>
        </w:tc>
        <w:tc>
          <w:tcPr>
            <w:tcW w:w="756" w:type="dxa"/>
            <w:vAlign w:val="center"/>
          </w:tcPr>
          <w:p w:rsidR="00CC55D9" w:rsidRDefault="00C17240">
            <w:pPr>
              <w:jc w:val="center"/>
              <w:rPr>
                <w:sz w:val="24"/>
                <w:szCs w:val="24"/>
              </w:rPr>
            </w:pPr>
            <w:r>
              <w:rPr>
                <w:sz w:val="24"/>
                <w:szCs w:val="24"/>
              </w:rPr>
              <w:t>-</w:t>
            </w:r>
          </w:p>
        </w:tc>
        <w:tc>
          <w:tcPr>
            <w:tcW w:w="980" w:type="dxa"/>
            <w:vAlign w:val="center"/>
          </w:tcPr>
          <w:p w:rsidR="00CC55D9" w:rsidRDefault="00C17240">
            <w:pPr>
              <w:jc w:val="center"/>
              <w:rPr>
                <w:sz w:val="24"/>
                <w:szCs w:val="24"/>
              </w:rPr>
            </w:pPr>
            <w:r>
              <w:rPr>
                <w:sz w:val="24"/>
                <w:szCs w:val="24"/>
              </w:rPr>
              <w:t>-</w:t>
            </w:r>
          </w:p>
        </w:tc>
      </w:tr>
      <w:tr w:rsidR="00CC55D9">
        <w:tc>
          <w:tcPr>
            <w:tcW w:w="9345" w:type="dxa"/>
            <w:gridSpan w:val="8"/>
          </w:tcPr>
          <w:p w:rsidR="00CC55D9" w:rsidRDefault="00C17240">
            <w:pPr>
              <w:jc w:val="center"/>
              <w:rPr>
                <w:sz w:val="24"/>
                <w:szCs w:val="24"/>
              </w:rPr>
            </w:pPr>
            <w:r>
              <w:rPr>
                <w:sz w:val="24"/>
                <w:szCs w:val="24"/>
              </w:rPr>
              <w:t>Федеральный фонд обязательного медицинского страхования</w:t>
            </w:r>
          </w:p>
        </w:tc>
      </w:tr>
      <w:tr w:rsidR="00CC55D9">
        <w:tc>
          <w:tcPr>
            <w:tcW w:w="2547" w:type="dxa"/>
            <w:vAlign w:val="center"/>
          </w:tcPr>
          <w:p w:rsidR="00CC55D9" w:rsidRDefault="00C17240">
            <w:pPr>
              <w:rPr>
                <w:sz w:val="24"/>
                <w:szCs w:val="24"/>
              </w:rPr>
            </w:pPr>
            <w:r>
              <w:rPr>
                <w:sz w:val="24"/>
                <w:szCs w:val="24"/>
              </w:rPr>
              <w:t>Доходы</w:t>
            </w:r>
          </w:p>
        </w:tc>
        <w:tc>
          <w:tcPr>
            <w:tcW w:w="1134" w:type="dxa"/>
            <w:vAlign w:val="center"/>
          </w:tcPr>
          <w:p w:rsidR="00CC55D9" w:rsidRDefault="00C17240">
            <w:pPr>
              <w:jc w:val="center"/>
              <w:rPr>
                <w:sz w:val="24"/>
                <w:szCs w:val="24"/>
              </w:rPr>
            </w:pPr>
            <w:r>
              <w:rPr>
                <w:sz w:val="24"/>
                <w:szCs w:val="24"/>
              </w:rPr>
              <w:t>2919,4</w:t>
            </w:r>
          </w:p>
        </w:tc>
        <w:tc>
          <w:tcPr>
            <w:tcW w:w="850" w:type="dxa"/>
            <w:vAlign w:val="center"/>
          </w:tcPr>
          <w:p w:rsidR="00CC55D9" w:rsidRDefault="00C17240">
            <w:pPr>
              <w:jc w:val="center"/>
              <w:rPr>
                <w:sz w:val="24"/>
                <w:szCs w:val="24"/>
              </w:rPr>
            </w:pPr>
            <w:r>
              <w:rPr>
                <w:sz w:val="24"/>
                <w:szCs w:val="24"/>
              </w:rPr>
              <w:t>17,8</w:t>
            </w:r>
          </w:p>
        </w:tc>
        <w:tc>
          <w:tcPr>
            <w:tcW w:w="1134" w:type="dxa"/>
            <w:vAlign w:val="center"/>
          </w:tcPr>
          <w:p w:rsidR="00CC55D9" w:rsidRDefault="00C17240">
            <w:pPr>
              <w:jc w:val="center"/>
              <w:rPr>
                <w:sz w:val="24"/>
                <w:szCs w:val="24"/>
              </w:rPr>
            </w:pPr>
            <w:r>
              <w:rPr>
                <w:sz w:val="24"/>
                <w:szCs w:val="24"/>
              </w:rPr>
              <w:t>3290,7</w:t>
            </w:r>
          </w:p>
        </w:tc>
        <w:tc>
          <w:tcPr>
            <w:tcW w:w="851" w:type="dxa"/>
            <w:vAlign w:val="center"/>
          </w:tcPr>
          <w:p w:rsidR="00CC55D9" w:rsidRDefault="00C17240">
            <w:pPr>
              <w:jc w:val="center"/>
              <w:rPr>
                <w:sz w:val="24"/>
                <w:szCs w:val="24"/>
              </w:rPr>
            </w:pPr>
            <w:r>
              <w:rPr>
                <w:sz w:val="24"/>
                <w:szCs w:val="24"/>
              </w:rPr>
              <w:t>19,8</w:t>
            </w:r>
          </w:p>
        </w:tc>
        <w:tc>
          <w:tcPr>
            <w:tcW w:w="1093" w:type="dxa"/>
            <w:vAlign w:val="center"/>
          </w:tcPr>
          <w:p w:rsidR="00CC55D9" w:rsidRDefault="00C17240">
            <w:pPr>
              <w:jc w:val="center"/>
              <w:rPr>
                <w:sz w:val="24"/>
                <w:szCs w:val="24"/>
              </w:rPr>
            </w:pPr>
            <w:r>
              <w:rPr>
                <w:sz w:val="24"/>
                <w:szCs w:val="24"/>
              </w:rPr>
              <w:t>3870,4</w:t>
            </w:r>
          </w:p>
        </w:tc>
        <w:tc>
          <w:tcPr>
            <w:tcW w:w="756" w:type="dxa"/>
            <w:vAlign w:val="center"/>
          </w:tcPr>
          <w:p w:rsidR="00CC55D9" w:rsidRDefault="00C17240">
            <w:pPr>
              <w:jc w:val="center"/>
              <w:rPr>
                <w:sz w:val="24"/>
                <w:szCs w:val="24"/>
              </w:rPr>
            </w:pPr>
            <w:r>
              <w:rPr>
                <w:sz w:val="24"/>
                <w:szCs w:val="24"/>
              </w:rPr>
              <w:t>18,7</w:t>
            </w:r>
          </w:p>
        </w:tc>
        <w:tc>
          <w:tcPr>
            <w:tcW w:w="980" w:type="dxa"/>
            <w:vAlign w:val="center"/>
          </w:tcPr>
          <w:p w:rsidR="00CC55D9" w:rsidRDefault="00C17240">
            <w:pPr>
              <w:jc w:val="center"/>
              <w:rPr>
                <w:sz w:val="24"/>
                <w:szCs w:val="24"/>
              </w:rPr>
            </w:pPr>
            <w:r>
              <w:rPr>
                <w:sz w:val="24"/>
                <w:szCs w:val="24"/>
              </w:rPr>
              <w:t>132,6</w:t>
            </w:r>
          </w:p>
        </w:tc>
      </w:tr>
      <w:tr w:rsidR="00CC55D9">
        <w:tc>
          <w:tcPr>
            <w:tcW w:w="2547" w:type="dxa"/>
            <w:vAlign w:val="center"/>
          </w:tcPr>
          <w:p w:rsidR="00CC55D9" w:rsidRDefault="00C17240">
            <w:pPr>
              <w:rPr>
                <w:sz w:val="24"/>
                <w:szCs w:val="24"/>
              </w:rPr>
            </w:pPr>
            <w:r>
              <w:rPr>
                <w:sz w:val="24"/>
                <w:szCs w:val="24"/>
              </w:rPr>
              <w:t>Расходы</w:t>
            </w:r>
          </w:p>
        </w:tc>
        <w:tc>
          <w:tcPr>
            <w:tcW w:w="1134" w:type="dxa"/>
            <w:vAlign w:val="center"/>
          </w:tcPr>
          <w:p w:rsidR="00CC55D9" w:rsidRDefault="00C17240">
            <w:pPr>
              <w:jc w:val="center"/>
              <w:rPr>
                <w:sz w:val="24"/>
                <w:szCs w:val="24"/>
              </w:rPr>
            </w:pPr>
            <w:r>
              <w:rPr>
                <w:sz w:val="24"/>
                <w:szCs w:val="24"/>
              </w:rPr>
              <w:t>2797,1</w:t>
            </w:r>
          </w:p>
        </w:tc>
        <w:tc>
          <w:tcPr>
            <w:tcW w:w="850" w:type="dxa"/>
            <w:vAlign w:val="center"/>
          </w:tcPr>
          <w:p w:rsidR="00CC55D9" w:rsidRDefault="00C17240">
            <w:pPr>
              <w:jc w:val="center"/>
              <w:rPr>
                <w:sz w:val="24"/>
                <w:szCs w:val="24"/>
              </w:rPr>
            </w:pPr>
            <w:r>
              <w:rPr>
                <w:sz w:val="24"/>
                <w:szCs w:val="24"/>
              </w:rPr>
              <w:t>18,3</w:t>
            </w:r>
          </w:p>
        </w:tc>
        <w:tc>
          <w:tcPr>
            <w:tcW w:w="1134" w:type="dxa"/>
            <w:vAlign w:val="center"/>
          </w:tcPr>
          <w:p w:rsidR="00CC55D9" w:rsidRDefault="00C17240">
            <w:pPr>
              <w:jc w:val="center"/>
              <w:rPr>
                <w:sz w:val="24"/>
                <w:szCs w:val="24"/>
              </w:rPr>
            </w:pPr>
            <w:r>
              <w:rPr>
                <w:sz w:val="24"/>
                <w:szCs w:val="24"/>
              </w:rPr>
              <w:t>3185,9</w:t>
            </w:r>
          </w:p>
        </w:tc>
        <w:tc>
          <w:tcPr>
            <w:tcW w:w="851" w:type="dxa"/>
            <w:vAlign w:val="center"/>
          </w:tcPr>
          <w:p w:rsidR="00CC55D9" w:rsidRDefault="00C17240">
            <w:pPr>
              <w:jc w:val="center"/>
              <w:rPr>
                <w:sz w:val="24"/>
                <w:szCs w:val="24"/>
              </w:rPr>
            </w:pPr>
            <w:r>
              <w:rPr>
                <w:sz w:val="24"/>
                <w:szCs w:val="24"/>
              </w:rPr>
              <w:t>18,7</w:t>
            </w:r>
          </w:p>
        </w:tc>
        <w:tc>
          <w:tcPr>
            <w:tcW w:w="1093" w:type="dxa"/>
            <w:vAlign w:val="center"/>
          </w:tcPr>
          <w:p w:rsidR="00CC55D9" w:rsidRDefault="00C17240">
            <w:pPr>
              <w:jc w:val="center"/>
              <w:rPr>
                <w:sz w:val="24"/>
                <w:szCs w:val="24"/>
              </w:rPr>
            </w:pPr>
            <w:r>
              <w:rPr>
                <w:sz w:val="24"/>
                <w:szCs w:val="24"/>
              </w:rPr>
              <w:t>3889,4</w:t>
            </w:r>
          </w:p>
        </w:tc>
        <w:tc>
          <w:tcPr>
            <w:tcW w:w="756" w:type="dxa"/>
            <w:vAlign w:val="center"/>
          </w:tcPr>
          <w:p w:rsidR="00CC55D9" w:rsidRDefault="00C17240">
            <w:pPr>
              <w:jc w:val="center"/>
              <w:rPr>
                <w:sz w:val="24"/>
                <w:szCs w:val="24"/>
              </w:rPr>
            </w:pPr>
            <w:r>
              <w:rPr>
                <w:sz w:val="24"/>
                <w:szCs w:val="24"/>
              </w:rPr>
              <w:t>19,3</w:t>
            </w:r>
          </w:p>
        </w:tc>
        <w:tc>
          <w:tcPr>
            <w:tcW w:w="980" w:type="dxa"/>
            <w:vAlign w:val="center"/>
          </w:tcPr>
          <w:p w:rsidR="00CC55D9" w:rsidRDefault="00C17240">
            <w:pPr>
              <w:jc w:val="center"/>
              <w:rPr>
                <w:sz w:val="24"/>
                <w:szCs w:val="24"/>
              </w:rPr>
            </w:pPr>
            <w:r>
              <w:rPr>
                <w:sz w:val="24"/>
                <w:szCs w:val="24"/>
              </w:rPr>
              <w:t>139,1</w:t>
            </w:r>
          </w:p>
        </w:tc>
      </w:tr>
      <w:tr w:rsidR="00CC55D9">
        <w:tc>
          <w:tcPr>
            <w:tcW w:w="2547" w:type="dxa"/>
            <w:vAlign w:val="center"/>
          </w:tcPr>
          <w:p w:rsidR="00CC55D9" w:rsidRDefault="00C17240">
            <w:pPr>
              <w:rPr>
                <w:sz w:val="24"/>
                <w:szCs w:val="24"/>
              </w:rPr>
            </w:pPr>
            <w:proofErr w:type="gramStart"/>
            <w:r>
              <w:rPr>
                <w:sz w:val="24"/>
                <w:szCs w:val="24"/>
              </w:rPr>
              <w:t>Финансовый результат (дефицит (-) /профицит (+)</w:t>
            </w:r>
            <w:proofErr w:type="gramEnd"/>
          </w:p>
        </w:tc>
        <w:tc>
          <w:tcPr>
            <w:tcW w:w="1134" w:type="dxa"/>
            <w:vAlign w:val="center"/>
          </w:tcPr>
          <w:p w:rsidR="00CC55D9" w:rsidRDefault="00C17240">
            <w:pPr>
              <w:jc w:val="center"/>
              <w:rPr>
                <w:sz w:val="24"/>
                <w:szCs w:val="24"/>
              </w:rPr>
            </w:pPr>
            <w:r>
              <w:rPr>
                <w:sz w:val="24"/>
                <w:szCs w:val="24"/>
              </w:rPr>
              <w:t>122,3</w:t>
            </w:r>
          </w:p>
        </w:tc>
        <w:tc>
          <w:tcPr>
            <w:tcW w:w="850" w:type="dxa"/>
            <w:vAlign w:val="center"/>
          </w:tcPr>
          <w:p w:rsidR="00CC55D9" w:rsidRDefault="00C17240">
            <w:pPr>
              <w:jc w:val="center"/>
              <w:rPr>
                <w:sz w:val="24"/>
                <w:szCs w:val="24"/>
              </w:rPr>
            </w:pPr>
            <w:r>
              <w:rPr>
                <w:sz w:val="24"/>
                <w:szCs w:val="24"/>
              </w:rPr>
              <w:t>-</w:t>
            </w:r>
          </w:p>
        </w:tc>
        <w:tc>
          <w:tcPr>
            <w:tcW w:w="1134" w:type="dxa"/>
            <w:vAlign w:val="center"/>
          </w:tcPr>
          <w:p w:rsidR="00CC55D9" w:rsidRDefault="00C17240">
            <w:pPr>
              <w:jc w:val="center"/>
              <w:rPr>
                <w:sz w:val="24"/>
                <w:szCs w:val="24"/>
              </w:rPr>
            </w:pPr>
            <w:r>
              <w:rPr>
                <w:sz w:val="24"/>
                <w:szCs w:val="24"/>
              </w:rPr>
              <w:t>104,8</w:t>
            </w:r>
          </w:p>
        </w:tc>
        <w:tc>
          <w:tcPr>
            <w:tcW w:w="851" w:type="dxa"/>
            <w:vAlign w:val="center"/>
          </w:tcPr>
          <w:p w:rsidR="00CC55D9" w:rsidRDefault="00C17240">
            <w:pPr>
              <w:jc w:val="center"/>
              <w:rPr>
                <w:sz w:val="24"/>
                <w:szCs w:val="24"/>
              </w:rPr>
            </w:pPr>
            <w:r>
              <w:rPr>
                <w:sz w:val="24"/>
                <w:szCs w:val="24"/>
              </w:rPr>
              <w:t>-</w:t>
            </w:r>
          </w:p>
        </w:tc>
        <w:tc>
          <w:tcPr>
            <w:tcW w:w="1093" w:type="dxa"/>
            <w:vAlign w:val="center"/>
          </w:tcPr>
          <w:p w:rsidR="00CC55D9" w:rsidRDefault="00C17240">
            <w:pPr>
              <w:jc w:val="center"/>
              <w:rPr>
                <w:sz w:val="24"/>
                <w:szCs w:val="24"/>
              </w:rPr>
            </w:pPr>
            <w:r>
              <w:rPr>
                <w:sz w:val="24"/>
                <w:szCs w:val="24"/>
              </w:rPr>
              <w:t>-19,0</w:t>
            </w:r>
          </w:p>
        </w:tc>
        <w:tc>
          <w:tcPr>
            <w:tcW w:w="756" w:type="dxa"/>
            <w:vAlign w:val="center"/>
          </w:tcPr>
          <w:p w:rsidR="00CC55D9" w:rsidRDefault="00C17240">
            <w:pPr>
              <w:jc w:val="center"/>
              <w:rPr>
                <w:sz w:val="24"/>
                <w:szCs w:val="24"/>
              </w:rPr>
            </w:pPr>
            <w:r>
              <w:rPr>
                <w:sz w:val="24"/>
                <w:szCs w:val="24"/>
              </w:rPr>
              <w:t>-</w:t>
            </w:r>
          </w:p>
        </w:tc>
        <w:tc>
          <w:tcPr>
            <w:tcW w:w="980" w:type="dxa"/>
            <w:vAlign w:val="center"/>
          </w:tcPr>
          <w:p w:rsidR="00CC55D9" w:rsidRDefault="00C17240">
            <w:pPr>
              <w:jc w:val="center"/>
              <w:rPr>
                <w:sz w:val="24"/>
                <w:szCs w:val="24"/>
              </w:rPr>
            </w:pPr>
            <w:r>
              <w:rPr>
                <w:sz w:val="24"/>
                <w:szCs w:val="24"/>
              </w:rPr>
              <w:t>-</w:t>
            </w:r>
          </w:p>
        </w:tc>
      </w:tr>
      <w:tr w:rsidR="00CC55D9">
        <w:tc>
          <w:tcPr>
            <w:tcW w:w="9345" w:type="dxa"/>
            <w:gridSpan w:val="8"/>
          </w:tcPr>
          <w:p w:rsidR="00CC55D9" w:rsidRDefault="00C17240">
            <w:pPr>
              <w:jc w:val="center"/>
              <w:rPr>
                <w:sz w:val="24"/>
                <w:szCs w:val="24"/>
              </w:rPr>
            </w:pPr>
            <w:r>
              <w:rPr>
                <w:sz w:val="24"/>
                <w:szCs w:val="24"/>
              </w:rPr>
              <w:t>Фонд социального страхования РФ</w:t>
            </w:r>
          </w:p>
        </w:tc>
      </w:tr>
      <w:tr w:rsidR="00CC55D9">
        <w:tc>
          <w:tcPr>
            <w:tcW w:w="2547" w:type="dxa"/>
            <w:vAlign w:val="center"/>
          </w:tcPr>
          <w:p w:rsidR="00CC55D9" w:rsidRDefault="00C17240">
            <w:pPr>
              <w:rPr>
                <w:sz w:val="24"/>
                <w:szCs w:val="24"/>
              </w:rPr>
            </w:pPr>
            <w:r>
              <w:rPr>
                <w:sz w:val="24"/>
                <w:szCs w:val="24"/>
              </w:rPr>
              <w:t>Доходы</w:t>
            </w:r>
          </w:p>
        </w:tc>
        <w:tc>
          <w:tcPr>
            <w:tcW w:w="1134" w:type="dxa"/>
            <w:vAlign w:val="center"/>
          </w:tcPr>
          <w:p w:rsidR="00CC55D9" w:rsidRDefault="00C17240">
            <w:pPr>
              <w:jc w:val="center"/>
              <w:rPr>
                <w:sz w:val="24"/>
                <w:szCs w:val="24"/>
              </w:rPr>
            </w:pPr>
            <w:r>
              <w:rPr>
                <w:sz w:val="24"/>
                <w:szCs w:val="24"/>
              </w:rPr>
              <w:t>1029,6</w:t>
            </w:r>
          </w:p>
        </w:tc>
        <w:tc>
          <w:tcPr>
            <w:tcW w:w="850" w:type="dxa"/>
            <w:vAlign w:val="center"/>
          </w:tcPr>
          <w:p w:rsidR="00CC55D9" w:rsidRDefault="00C17240">
            <w:pPr>
              <w:jc w:val="center"/>
              <w:rPr>
                <w:sz w:val="24"/>
                <w:szCs w:val="24"/>
              </w:rPr>
            </w:pPr>
            <w:r>
              <w:rPr>
                <w:sz w:val="24"/>
                <w:szCs w:val="24"/>
              </w:rPr>
              <w:t>6,2</w:t>
            </w:r>
          </w:p>
        </w:tc>
        <w:tc>
          <w:tcPr>
            <w:tcW w:w="1134" w:type="dxa"/>
            <w:vAlign w:val="center"/>
          </w:tcPr>
          <w:p w:rsidR="00CC55D9" w:rsidRDefault="00C17240">
            <w:pPr>
              <w:jc w:val="center"/>
              <w:rPr>
                <w:sz w:val="24"/>
                <w:szCs w:val="24"/>
              </w:rPr>
            </w:pPr>
            <w:r>
              <w:rPr>
                <w:sz w:val="24"/>
                <w:szCs w:val="24"/>
              </w:rPr>
              <w:t>-</w:t>
            </w:r>
          </w:p>
        </w:tc>
        <w:tc>
          <w:tcPr>
            <w:tcW w:w="851" w:type="dxa"/>
            <w:vAlign w:val="center"/>
          </w:tcPr>
          <w:p w:rsidR="00CC55D9" w:rsidRDefault="00C17240">
            <w:pPr>
              <w:jc w:val="center"/>
              <w:rPr>
                <w:sz w:val="24"/>
                <w:szCs w:val="24"/>
              </w:rPr>
            </w:pPr>
            <w:r>
              <w:rPr>
                <w:sz w:val="24"/>
                <w:szCs w:val="24"/>
              </w:rPr>
              <w:t>-</w:t>
            </w:r>
          </w:p>
        </w:tc>
        <w:tc>
          <w:tcPr>
            <w:tcW w:w="1093" w:type="dxa"/>
            <w:vAlign w:val="center"/>
          </w:tcPr>
          <w:p w:rsidR="00CC55D9" w:rsidRDefault="00C17240">
            <w:pPr>
              <w:jc w:val="center"/>
              <w:rPr>
                <w:sz w:val="24"/>
                <w:szCs w:val="24"/>
              </w:rPr>
            </w:pPr>
            <w:r>
              <w:rPr>
                <w:sz w:val="24"/>
                <w:szCs w:val="24"/>
              </w:rPr>
              <w:t>-</w:t>
            </w:r>
          </w:p>
        </w:tc>
        <w:tc>
          <w:tcPr>
            <w:tcW w:w="756" w:type="dxa"/>
            <w:vAlign w:val="center"/>
          </w:tcPr>
          <w:p w:rsidR="00CC55D9" w:rsidRDefault="00C17240">
            <w:pPr>
              <w:jc w:val="center"/>
              <w:rPr>
                <w:sz w:val="24"/>
                <w:szCs w:val="24"/>
              </w:rPr>
            </w:pPr>
            <w:r>
              <w:rPr>
                <w:sz w:val="24"/>
                <w:szCs w:val="24"/>
              </w:rPr>
              <w:t>-</w:t>
            </w:r>
          </w:p>
        </w:tc>
        <w:tc>
          <w:tcPr>
            <w:tcW w:w="980" w:type="dxa"/>
            <w:vAlign w:val="center"/>
          </w:tcPr>
          <w:p w:rsidR="00CC55D9" w:rsidRDefault="00C17240">
            <w:pPr>
              <w:jc w:val="center"/>
              <w:rPr>
                <w:sz w:val="24"/>
                <w:szCs w:val="24"/>
              </w:rPr>
            </w:pPr>
            <w:r>
              <w:rPr>
                <w:sz w:val="24"/>
                <w:szCs w:val="24"/>
              </w:rPr>
              <w:t>-</w:t>
            </w:r>
          </w:p>
        </w:tc>
      </w:tr>
      <w:tr w:rsidR="00CC55D9">
        <w:tc>
          <w:tcPr>
            <w:tcW w:w="2547" w:type="dxa"/>
            <w:vAlign w:val="center"/>
          </w:tcPr>
          <w:p w:rsidR="00CC55D9" w:rsidRDefault="00C17240">
            <w:pPr>
              <w:rPr>
                <w:sz w:val="24"/>
                <w:szCs w:val="24"/>
              </w:rPr>
            </w:pPr>
            <w:r>
              <w:rPr>
                <w:sz w:val="24"/>
                <w:szCs w:val="24"/>
              </w:rPr>
              <w:t>Расходы</w:t>
            </w:r>
          </w:p>
        </w:tc>
        <w:tc>
          <w:tcPr>
            <w:tcW w:w="1134" w:type="dxa"/>
            <w:vAlign w:val="center"/>
          </w:tcPr>
          <w:p w:rsidR="00CC55D9" w:rsidRDefault="00C17240">
            <w:pPr>
              <w:jc w:val="center"/>
              <w:rPr>
                <w:sz w:val="24"/>
                <w:szCs w:val="24"/>
              </w:rPr>
            </w:pPr>
            <w:r>
              <w:rPr>
                <w:sz w:val="24"/>
                <w:szCs w:val="24"/>
              </w:rPr>
              <w:t>1149,4</w:t>
            </w:r>
          </w:p>
        </w:tc>
        <w:tc>
          <w:tcPr>
            <w:tcW w:w="850" w:type="dxa"/>
            <w:vAlign w:val="center"/>
          </w:tcPr>
          <w:p w:rsidR="00CC55D9" w:rsidRDefault="00C17240">
            <w:pPr>
              <w:jc w:val="center"/>
              <w:rPr>
                <w:sz w:val="24"/>
                <w:szCs w:val="24"/>
              </w:rPr>
            </w:pPr>
            <w:r>
              <w:rPr>
                <w:sz w:val="24"/>
                <w:szCs w:val="24"/>
              </w:rPr>
              <w:t>7,5</w:t>
            </w:r>
          </w:p>
        </w:tc>
        <w:tc>
          <w:tcPr>
            <w:tcW w:w="1134" w:type="dxa"/>
            <w:vAlign w:val="center"/>
          </w:tcPr>
          <w:p w:rsidR="00CC55D9" w:rsidRDefault="00C17240">
            <w:pPr>
              <w:jc w:val="center"/>
              <w:rPr>
                <w:sz w:val="24"/>
                <w:szCs w:val="24"/>
              </w:rPr>
            </w:pPr>
            <w:r>
              <w:rPr>
                <w:sz w:val="24"/>
                <w:szCs w:val="24"/>
              </w:rPr>
              <w:t>-</w:t>
            </w:r>
          </w:p>
        </w:tc>
        <w:tc>
          <w:tcPr>
            <w:tcW w:w="851" w:type="dxa"/>
            <w:vAlign w:val="center"/>
          </w:tcPr>
          <w:p w:rsidR="00CC55D9" w:rsidRDefault="00C17240">
            <w:pPr>
              <w:jc w:val="center"/>
              <w:rPr>
                <w:sz w:val="24"/>
                <w:szCs w:val="24"/>
              </w:rPr>
            </w:pPr>
            <w:r>
              <w:rPr>
                <w:sz w:val="24"/>
                <w:szCs w:val="24"/>
              </w:rPr>
              <w:t>-</w:t>
            </w:r>
          </w:p>
        </w:tc>
        <w:tc>
          <w:tcPr>
            <w:tcW w:w="1093" w:type="dxa"/>
            <w:vAlign w:val="center"/>
          </w:tcPr>
          <w:p w:rsidR="00CC55D9" w:rsidRDefault="00C17240">
            <w:pPr>
              <w:jc w:val="center"/>
              <w:rPr>
                <w:sz w:val="24"/>
                <w:szCs w:val="24"/>
              </w:rPr>
            </w:pPr>
            <w:r>
              <w:rPr>
                <w:sz w:val="24"/>
                <w:szCs w:val="24"/>
              </w:rPr>
              <w:t>-</w:t>
            </w:r>
          </w:p>
        </w:tc>
        <w:tc>
          <w:tcPr>
            <w:tcW w:w="756" w:type="dxa"/>
            <w:vAlign w:val="center"/>
          </w:tcPr>
          <w:p w:rsidR="00CC55D9" w:rsidRDefault="00C17240">
            <w:pPr>
              <w:jc w:val="center"/>
              <w:rPr>
                <w:sz w:val="24"/>
                <w:szCs w:val="24"/>
              </w:rPr>
            </w:pPr>
            <w:r>
              <w:rPr>
                <w:sz w:val="24"/>
                <w:szCs w:val="24"/>
              </w:rPr>
              <w:t>-</w:t>
            </w:r>
          </w:p>
        </w:tc>
        <w:tc>
          <w:tcPr>
            <w:tcW w:w="980" w:type="dxa"/>
            <w:vAlign w:val="center"/>
          </w:tcPr>
          <w:p w:rsidR="00CC55D9" w:rsidRDefault="00C17240">
            <w:pPr>
              <w:jc w:val="center"/>
              <w:rPr>
                <w:sz w:val="24"/>
                <w:szCs w:val="24"/>
              </w:rPr>
            </w:pPr>
            <w:r>
              <w:rPr>
                <w:sz w:val="24"/>
                <w:szCs w:val="24"/>
              </w:rPr>
              <w:t>-</w:t>
            </w:r>
          </w:p>
        </w:tc>
      </w:tr>
      <w:tr w:rsidR="00CC55D9">
        <w:tc>
          <w:tcPr>
            <w:tcW w:w="2547" w:type="dxa"/>
            <w:vAlign w:val="center"/>
          </w:tcPr>
          <w:p w:rsidR="00CC55D9" w:rsidRDefault="00C17240">
            <w:pPr>
              <w:rPr>
                <w:sz w:val="24"/>
                <w:szCs w:val="24"/>
              </w:rPr>
            </w:pPr>
            <w:proofErr w:type="gramStart"/>
            <w:r>
              <w:rPr>
                <w:sz w:val="24"/>
                <w:szCs w:val="24"/>
              </w:rPr>
              <w:t>Финансовый результат (дефицит (-) /профицит (+)</w:t>
            </w:r>
            <w:proofErr w:type="gramEnd"/>
          </w:p>
        </w:tc>
        <w:tc>
          <w:tcPr>
            <w:tcW w:w="1134" w:type="dxa"/>
            <w:vAlign w:val="center"/>
          </w:tcPr>
          <w:p w:rsidR="00CC55D9" w:rsidRDefault="00C17240">
            <w:pPr>
              <w:jc w:val="center"/>
              <w:rPr>
                <w:sz w:val="24"/>
                <w:szCs w:val="24"/>
              </w:rPr>
            </w:pPr>
            <w:r>
              <w:rPr>
                <w:sz w:val="24"/>
                <w:szCs w:val="24"/>
              </w:rPr>
              <w:t>-119,8</w:t>
            </w:r>
          </w:p>
        </w:tc>
        <w:tc>
          <w:tcPr>
            <w:tcW w:w="850" w:type="dxa"/>
            <w:vAlign w:val="center"/>
          </w:tcPr>
          <w:p w:rsidR="00CC55D9" w:rsidRDefault="00C17240">
            <w:pPr>
              <w:jc w:val="center"/>
              <w:rPr>
                <w:sz w:val="24"/>
                <w:szCs w:val="24"/>
              </w:rPr>
            </w:pPr>
            <w:r>
              <w:rPr>
                <w:sz w:val="24"/>
                <w:szCs w:val="24"/>
              </w:rPr>
              <w:t>-</w:t>
            </w:r>
          </w:p>
        </w:tc>
        <w:tc>
          <w:tcPr>
            <w:tcW w:w="1134" w:type="dxa"/>
            <w:vAlign w:val="center"/>
          </w:tcPr>
          <w:p w:rsidR="00CC55D9" w:rsidRDefault="00C17240">
            <w:pPr>
              <w:jc w:val="center"/>
              <w:rPr>
                <w:sz w:val="24"/>
                <w:szCs w:val="24"/>
              </w:rPr>
            </w:pPr>
            <w:r>
              <w:rPr>
                <w:sz w:val="24"/>
                <w:szCs w:val="24"/>
              </w:rPr>
              <w:t>-</w:t>
            </w:r>
          </w:p>
        </w:tc>
        <w:tc>
          <w:tcPr>
            <w:tcW w:w="851" w:type="dxa"/>
            <w:vAlign w:val="center"/>
          </w:tcPr>
          <w:p w:rsidR="00CC55D9" w:rsidRDefault="00C17240">
            <w:pPr>
              <w:jc w:val="center"/>
              <w:rPr>
                <w:sz w:val="24"/>
                <w:szCs w:val="24"/>
              </w:rPr>
            </w:pPr>
            <w:r>
              <w:rPr>
                <w:sz w:val="24"/>
                <w:szCs w:val="24"/>
              </w:rPr>
              <w:t>-</w:t>
            </w:r>
          </w:p>
        </w:tc>
        <w:tc>
          <w:tcPr>
            <w:tcW w:w="1093" w:type="dxa"/>
            <w:vAlign w:val="center"/>
          </w:tcPr>
          <w:p w:rsidR="00CC55D9" w:rsidRDefault="00C17240">
            <w:pPr>
              <w:jc w:val="center"/>
              <w:rPr>
                <w:sz w:val="24"/>
                <w:szCs w:val="24"/>
              </w:rPr>
            </w:pPr>
            <w:r>
              <w:rPr>
                <w:sz w:val="24"/>
                <w:szCs w:val="24"/>
              </w:rPr>
              <w:t>-</w:t>
            </w:r>
          </w:p>
        </w:tc>
        <w:tc>
          <w:tcPr>
            <w:tcW w:w="756" w:type="dxa"/>
            <w:vAlign w:val="center"/>
          </w:tcPr>
          <w:p w:rsidR="00CC55D9" w:rsidRDefault="00C17240">
            <w:pPr>
              <w:jc w:val="center"/>
              <w:rPr>
                <w:sz w:val="24"/>
                <w:szCs w:val="24"/>
              </w:rPr>
            </w:pPr>
            <w:r>
              <w:rPr>
                <w:sz w:val="24"/>
                <w:szCs w:val="24"/>
              </w:rPr>
              <w:t>-</w:t>
            </w:r>
          </w:p>
        </w:tc>
        <w:tc>
          <w:tcPr>
            <w:tcW w:w="980" w:type="dxa"/>
            <w:vAlign w:val="center"/>
          </w:tcPr>
          <w:p w:rsidR="00CC55D9" w:rsidRDefault="00C17240">
            <w:pPr>
              <w:jc w:val="center"/>
              <w:rPr>
                <w:sz w:val="24"/>
                <w:szCs w:val="24"/>
              </w:rPr>
            </w:pPr>
            <w:r>
              <w:rPr>
                <w:sz w:val="24"/>
                <w:szCs w:val="24"/>
              </w:rPr>
              <w:t>-</w:t>
            </w:r>
          </w:p>
        </w:tc>
      </w:tr>
    </w:tbl>
    <w:p w:rsidR="00CC55D9" w:rsidRDefault="00C17240">
      <w:pPr>
        <w:widowControl w:val="0"/>
        <w:spacing w:after="0" w:line="360" w:lineRule="auto"/>
        <w:jc w:val="both"/>
        <w:rPr>
          <w:sz w:val="24"/>
          <w:szCs w:val="24"/>
        </w:rPr>
      </w:pPr>
      <w:r>
        <w:rPr>
          <w:sz w:val="24"/>
          <w:szCs w:val="24"/>
          <w:vertAlign w:val="superscript"/>
        </w:rPr>
        <w:t>*</w:t>
      </w:r>
      <w:r>
        <w:rPr>
          <w:sz w:val="24"/>
          <w:szCs w:val="24"/>
        </w:rPr>
        <w:t xml:space="preserve">Составлено по данным источника </w:t>
      </w:r>
      <w:r>
        <w:rPr>
          <w:rFonts w:ascii="Symbol" w:eastAsia="Symbol" w:hAnsi="Symbol" w:cs="Symbol"/>
          <w:sz w:val="24"/>
          <w:szCs w:val="24"/>
        </w:rPr>
        <w:t></w:t>
      </w:r>
      <w:r>
        <w:rPr>
          <w:sz w:val="24"/>
          <w:szCs w:val="24"/>
        </w:rPr>
        <w:t>4,5</w:t>
      </w:r>
      <w:r>
        <w:rPr>
          <w:rFonts w:ascii="Symbol" w:eastAsia="Symbol" w:hAnsi="Symbol" w:cs="Symbol"/>
          <w:sz w:val="24"/>
          <w:szCs w:val="24"/>
        </w:rPr>
        <w:t></w:t>
      </w:r>
    </w:p>
    <w:p w:rsidR="00CC55D9" w:rsidRDefault="00CC55D9">
      <w:pPr>
        <w:spacing w:after="0" w:line="360" w:lineRule="auto"/>
        <w:ind w:firstLine="708"/>
        <w:jc w:val="both"/>
        <w:rPr>
          <w:lang w:val="en-US"/>
        </w:rPr>
      </w:pPr>
    </w:p>
    <w:p w:rsidR="00CC55D9" w:rsidRDefault="00C17240">
      <w:pPr>
        <w:widowControl w:val="0"/>
        <w:spacing w:after="0" w:line="360" w:lineRule="auto"/>
        <w:ind w:firstLine="567"/>
        <w:jc w:val="both"/>
      </w:pPr>
      <w:r>
        <w:t xml:space="preserve">Для решения обозначенных задач и увеличения эффективности </w:t>
      </w:r>
      <w:r>
        <w:lastRenderedPageBreak/>
        <w:t>социального фонда России (СФР) предлагается активизировать следующие направления:</w:t>
      </w:r>
    </w:p>
    <w:p w:rsidR="00CC55D9" w:rsidRDefault="00C17240">
      <w:pPr>
        <w:pStyle w:val="af2"/>
        <w:widowControl w:val="0"/>
        <w:numPr>
          <w:ilvl w:val="0"/>
          <w:numId w:val="3"/>
        </w:numPr>
        <w:tabs>
          <w:tab w:val="left" w:pos="1134"/>
        </w:tabs>
        <w:spacing w:after="0" w:line="360" w:lineRule="auto"/>
        <w:ind w:left="0" w:firstLine="567"/>
        <w:jc w:val="both"/>
      </w:pPr>
      <w:proofErr w:type="spellStart"/>
      <w:r>
        <w:t>цифровизация</w:t>
      </w:r>
      <w:proofErr w:type="spellEnd"/>
      <w:r>
        <w:t xml:space="preserve"> и развитие «Социального казначейства», т.е. углубление интеграции информационных систем для предиктивного анализа потребностей и профилактики правонарушений;</w:t>
      </w:r>
    </w:p>
    <w:p w:rsidR="00CC55D9" w:rsidRDefault="00C17240">
      <w:pPr>
        <w:pStyle w:val="af2"/>
        <w:widowControl w:val="0"/>
        <w:numPr>
          <w:ilvl w:val="0"/>
          <w:numId w:val="3"/>
        </w:numPr>
        <w:tabs>
          <w:tab w:val="left" w:pos="1134"/>
        </w:tabs>
        <w:spacing w:after="0" w:line="360" w:lineRule="auto"/>
        <w:ind w:left="0" w:firstLine="567"/>
        <w:jc w:val="both"/>
      </w:pPr>
      <w:r>
        <w:t xml:space="preserve">расширение практики использования электронных сертификатов на товары и услуги реабилитации, что позволит повысить адресность и </w:t>
      </w:r>
      <w:proofErr w:type="gramStart"/>
      <w:r>
        <w:t>контроль за</w:t>
      </w:r>
      <w:proofErr w:type="gramEnd"/>
      <w:r>
        <w:t xml:space="preserve"> целевым использованием бюджетных средств;</w:t>
      </w:r>
    </w:p>
    <w:p w:rsidR="00CC55D9" w:rsidRDefault="00C17240">
      <w:pPr>
        <w:pStyle w:val="af2"/>
        <w:widowControl w:val="0"/>
        <w:numPr>
          <w:ilvl w:val="0"/>
          <w:numId w:val="3"/>
        </w:numPr>
        <w:tabs>
          <w:tab w:val="left" w:pos="1134"/>
        </w:tabs>
        <w:spacing w:after="0" w:line="360" w:lineRule="auto"/>
        <w:ind w:left="0" w:firstLine="567"/>
        <w:jc w:val="both"/>
      </w:pPr>
      <w:r>
        <w:t>увеличение финансовой грамотности населения в отношении возможности использования социальных программ, включая материнский капитал;</w:t>
      </w:r>
    </w:p>
    <w:p w:rsidR="00CC55D9" w:rsidRDefault="00C17240">
      <w:pPr>
        <w:pStyle w:val="af2"/>
        <w:numPr>
          <w:ilvl w:val="0"/>
          <w:numId w:val="3"/>
        </w:numPr>
        <w:tabs>
          <w:tab w:val="left" w:pos="1134"/>
        </w:tabs>
        <w:spacing w:after="0" w:line="360" w:lineRule="auto"/>
        <w:ind w:left="0" w:firstLine="567"/>
        <w:jc w:val="both"/>
      </w:pPr>
      <w:r>
        <w:t xml:space="preserve">совершенствование механизмов взыскание задолженности по страховым взносам. </w:t>
      </w:r>
    </w:p>
    <w:p w:rsidR="00CC55D9" w:rsidRDefault="00C17240">
      <w:pPr>
        <w:pStyle w:val="af2"/>
        <w:tabs>
          <w:tab w:val="left" w:pos="1134"/>
        </w:tabs>
        <w:spacing w:after="0" w:line="360" w:lineRule="auto"/>
        <w:ind w:left="0" w:firstLine="567"/>
        <w:jc w:val="both"/>
      </w:pPr>
      <w:r>
        <w:t xml:space="preserve">Проведенный анализ показывает, что в 2023 году создание единого Социального фонда России стало значительной институциональной реформой, направленной на оптимизацию системы социального обеспечения в стране. Результаты первых лет функционирования СФР демонстрирует неоднозначные финансовые тенденции.  Несмотря на устойчивый рост совокупных </w:t>
      </w:r>
      <w:proofErr w:type="gramStart"/>
      <w:r>
        <w:t>доходов</w:t>
      </w:r>
      <w:proofErr w:type="gramEnd"/>
      <w:r>
        <w:t xml:space="preserve"> и расходов государственных внебюджетных фондов, в 2023 году объединенная система столкнулась с существенным бюджетным дефицитом. Тем не менее, в 2024 году ситуация улучшилась, и был зафиксирован профицит, что указывает на процессы адаптации и консолидации. </w:t>
      </w:r>
    </w:p>
    <w:p w:rsidR="00CC55D9" w:rsidRDefault="00C17240">
      <w:pPr>
        <w:pStyle w:val="af2"/>
        <w:tabs>
          <w:tab w:val="left" w:pos="1134"/>
        </w:tabs>
        <w:spacing w:after="0" w:line="360" w:lineRule="auto"/>
        <w:ind w:left="0" w:firstLine="567"/>
        <w:jc w:val="both"/>
      </w:pPr>
      <w:r>
        <w:t xml:space="preserve">Таким образом, реформа в целом создала условия для повышения управленческой эффективности и удобства получения социальных услуг. Однако для дальнейшего укрепления финансовой устойчивости Социального фонда России и повышения качества социальной защиты целесообразно активизировать предложенные в исследовании направления. К ним относятся углубление </w:t>
      </w:r>
      <w:proofErr w:type="spellStart"/>
      <w:r>
        <w:t>цифровизации</w:t>
      </w:r>
      <w:proofErr w:type="spellEnd"/>
      <w:r>
        <w:t xml:space="preserve"> и развитие «Социального казначейства», расширение использования электронных сертификатов, повышение финансовой </w:t>
      </w:r>
      <w:r>
        <w:lastRenderedPageBreak/>
        <w:t xml:space="preserve">грамотности среди населения и другие инициативы. Внедрение этих мер будет способствовать увеличению адресности, прозрачности и эффективности работы единого социального фонда.  </w:t>
      </w:r>
    </w:p>
    <w:p w:rsidR="00CC55D9" w:rsidRDefault="00CC55D9">
      <w:pPr>
        <w:spacing w:after="0" w:line="360" w:lineRule="auto"/>
        <w:jc w:val="center"/>
      </w:pPr>
    </w:p>
    <w:p w:rsidR="00CC55D9" w:rsidRDefault="00C17240" w:rsidP="00427761">
      <w:pPr>
        <w:spacing w:after="0" w:line="360" w:lineRule="auto"/>
      </w:pPr>
      <w:r>
        <w:t>СПИСОК ЛИТЕРАТУРЫ</w:t>
      </w:r>
    </w:p>
    <w:p w:rsidR="00CC55D9" w:rsidRDefault="00C17240">
      <w:pPr>
        <w:tabs>
          <w:tab w:val="left" w:pos="993"/>
        </w:tabs>
        <w:spacing w:after="0" w:line="360" w:lineRule="auto"/>
        <w:ind w:left="709"/>
        <w:jc w:val="both"/>
      </w:pPr>
      <w:r>
        <w:t xml:space="preserve">1. </w:t>
      </w:r>
      <w:proofErr w:type="spellStart"/>
      <w:r>
        <w:t>Амелина</w:t>
      </w:r>
      <w:proofErr w:type="spellEnd"/>
      <w:r>
        <w:t xml:space="preserve"> О.С. Последствия объединения ПФР и ФСС, преимущества создания Социального фонда России (СФР) // </w:t>
      </w:r>
      <w:hyperlink r:id="rId8" w:tooltip="https://elibrary.ru/item.asp?id=50261844&amp;selid=50261921" w:history="1">
        <w:r>
          <w:rPr>
            <w:rStyle w:val="af7"/>
            <w:color w:val="auto"/>
            <w:u w:val="none"/>
          </w:rPr>
          <w:t>Проблемы развития современного общества</w:t>
        </w:r>
      </w:hyperlink>
      <w:r>
        <w:t>: сборник научных статей 8-й Всероссийской национальной научно-практической конференции. В 4-х томах. Том 2. Под редакцией В.М. Кузьминой. Курск, 2023. – URL: https://elibrary.ru/download/elibrary_50261921_40453774.pdf (дата обращения: 15.10.25).</w:t>
      </w:r>
    </w:p>
    <w:p w:rsidR="00CC55D9" w:rsidRDefault="00C17240">
      <w:pPr>
        <w:tabs>
          <w:tab w:val="left" w:pos="993"/>
        </w:tabs>
        <w:spacing w:after="0" w:line="360" w:lineRule="auto"/>
        <w:ind w:left="709"/>
        <w:jc w:val="both"/>
      </w:pPr>
      <w:r>
        <w:t xml:space="preserve">2. Гончарова Д. А., </w:t>
      </w:r>
      <w:proofErr w:type="spellStart"/>
      <w:r>
        <w:t>Карнаухий</w:t>
      </w:r>
      <w:proofErr w:type="spellEnd"/>
      <w:r>
        <w:t xml:space="preserve"> А. С. Анализ исполнения бюджетов государственных внебюджетных фондов российской федерации // Современная научная мысль. 2023. №5. URL: https://cyberleninka.ru/article/n/analiz-ispolneniya-byudzhetov-gosudarstvennyh-vnebyudzhetnyh-fondov-rossiyskoy-federatsii (дата обращения: 01.10.2025).</w:t>
      </w:r>
    </w:p>
    <w:p w:rsidR="00CC55D9" w:rsidRDefault="00C17240">
      <w:pPr>
        <w:tabs>
          <w:tab w:val="left" w:pos="993"/>
        </w:tabs>
        <w:spacing w:after="0" w:line="360" w:lineRule="auto"/>
        <w:ind w:left="709"/>
        <w:jc w:val="both"/>
      </w:pPr>
      <w:r>
        <w:t xml:space="preserve">3. Как устроен Социальный фонд России и как он работает / </w:t>
      </w:r>
      <w:proofErr w:type="spellStart"/>
      <w:r>
        <w:t>Skillbox</w:t>
      </w:r>
      <w:proofErr w:type="spellEnd"/>
      <w:r>
        <w:t xml:space="preserve"> </w:t>
      </w:r>
      <w:proofErr w:type="spellStart"/>
      <w:r>
        <w:t>Media</w:t>
      </w:r>
      <w:proofErr w:type="spellEnd"/>
      <w:r>
        <w:t>. – URL: https://skillbox.ru/media/management/kak-ustroen-socialnyy-fond-rossii-i-kak-on-rabotae/t (дата обращения: 20.11.2025).</w:t>
      </w:r>
    </w:p>
    <w:p w:rsidR="00CC55D9" w:rsidRDefault="00C17240">
      <w:pPr>
        <w:tabs>
          <w:tab w:val="left" w:pos="993"/>
        </w:tabs>
        <w:spacing w:after="0" w:line="360" w:lineRule="auto"/>
        <w:ind w:left="709"/>
        <w:jc w:val="both"/>
      </w:pPr>
      <w:r>
        <w:t xml:space="preserve">4. Краткая ежеквартальная информация об исполнении бюджетов государственных внебюджетных фондов. - URL: https://minfin.gov.ru/ru/document?id_4=93454-kratkaya_ezhekvartalnaya_informatsiya_ob_ispolnenii_byudzhetov_gosudarstvennykh_vnebyudzhetnykh_fondov_mlrd._rub._nakopleno_s_nachala_goda (дата обращения 15.11.25). </w:t>
      </w:r>
    </w:p>
    <w:p w:rsidR="00CC55D9" w:rsidRDefault="00C17240">
      <w:pPr>
        <w:tabs>
          <w:tab w:val="left" w:pos="993"/>
        </w:tabs>
        <w:spacing w:after="0" w:line="360" w:lineRule="auto"/>
        <w:ind w:left="709"/>
        <w:jc w:val="both"/>
      </w:pPr>
      <w:r>
        <w:t xml:space="preserve">5. Оперативный доклад об исполнении бюджета Фонда пенсионного и социального страхования Российской Федерации (январь-декабрь                   2024 г.) [Электронный ресурс]. - URL: </w:t>
      </w:r>
      <w:r>
        <w:lastRenderedPageBreak/>
        <w:t xml:space="preserve">https://ach.gov.ru/upload/iblock/cb0/xiruwyp3arp3pa7wbb7mx6sbt2qj0zer.pdf (дата обращения: 25.11.25). </w:t>
      </w:r>
    </w:p>
    <w:p w:rsidR="00CC55D9" w:rsidRDefault="00C17240">
      <w:pPr>
        <w:tabs>
          <w:tab w:val="left" w:pos="993"/>
        </w:tabs>
        <w:spacing w:after="0" w:line="360" w:lineRule="auto"/>
        <w:ind w:left="709"/>
        <w:jc w:val="both"/>
      </w:pPr>
      <w:r>
        <w:t xml:space="preserve">6. </w:t>
      </w:r>
      <w:proofErr w:type="gramStart"/>
      <w:r>
        <w:t>Садило</w:t>
      </w:r>
      <w:proofErr w:type="gramEnd"/>
      <w:r>
        <w:t xml:space="preserve"> Т. Е., </w:t>
      </w:r>
      <w:proofErr w:type="spellStart"/>
      <w:r>
        <w:t>Тахмазян</w:t>
      </w:r>
      <w:proofErr w:type="spellEnd"/>
      <w:r>
        <w:t xml:space="preserve"> В. Р., </w:t>
      </w:r>
      <w:proofErr w:type="spellStart"/>
      <w:r>
        <w:t>Неводова</w:t>
      </w:r>
      <w:proofErr w:type="spellEnd"/>
      <w:r>
        <w:t xml:space="preserve"> И. А. Внебюджетные фонды в современной экономике России // Экономика и бизнес: теория и практика. 2019. №6-2. URL: https://cyberleninka.ru/article/n/vnebyudzhetnye-fondy-v-sovremennoy-ekonomike-rossii-1 (дата обращения: 03.11.2025).</w:t>
      </w:r>
    </w:p>
    <w:p w:rsidR="00CC55D9" w:rsidRDefault="00C17240">
      <w:pPr>
        <w:tabs>
          <w:tab w:val="left" w:pos="993"/>
        </w:tabs>
        <w:spacing w:after="0" w:line="360" w:lineRule="auto"/>
        <w:ind w:left="709"/>
        <w:jc w:val="both"/>
      </w:pPr>
      <w:r>
        <w:t>7. Социальный фонд России</w:t>
      </w:r>
      <w:proofErr w:type="gramStart"/>
      <w:r>
        <w:t xml:space="preserve"> :</w:t>
      </w:r>
      <w:proofErr w:type="gramEnd"/>
      <w:r>
        <w:t xml:space="preserve"> [официальный портал] / Портал </w:t>
      </w:r>
      <w:proofErr w:type="spellStart"/>
      <w:r>
        <w:t>госуслуг</w:t>
      </w:r>
      <w:proofErr w:type="spellEnd"/>
      <w:r>
        <w:t>. – URL: https://www.gosuslugi.ru/socialfund (дата обращения: 29.11.2025).</w:t>
      </w:r>
    </w:p>
    <w:p w:rsidR="00CC55D9" w:rsidRDefault="00CC55D9">
      <w:pPr>
        <w:tabs>
          <w:tab w:val="left" w:pos="993"/>
        </w:tabs>
        <w:spacing w:after="0" w:line="360" w:lineRule="auto"/>
        <w:ind w:left="709"/>
        <w:jc w:val="both"/>
      </w:pPr>
    </w:p>
    <w:p w:rsidR="00CC55D9" w:rsidRDefault="00CC55D9">
      <w:pPr>
        <w:tabs>
          <w:tab w:val="left" w:pos="993"/>
        </w:tabs>
        <w:spacing w:after="0" w:line="360" w:lineRule="auto"/>
        <w:jc w:val="right"/>
      </w:pPr>
    </w:p>
    <w:sectPr w:rsidR="00CC55D9">
      <w:footerReference w:type="default" r:id="rId9"/>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26A0" w:rsidRDefault="005426A0">
      <w:pPr>
        <w:spacing w:after="0" w:line="240" w:lineRule="auto"/>
      </w:pPr>
      <w:r>
        <w:separator/>
      </w:r>
    </w:p>
  </w:endnote>
  <w:endnote w:type="continuationSeparator" w:id="0">
    <w:p w:rsidR="005426A0" w:rsidRDefault="005426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5D9" w:rsidRDefault="00CC55D9">
    <w:pPr>
      <w:pStyle w:val="afc"/>
    </w:pPr>
  </w:p>
  <w:p w:rsidR="00CC55D9" w:rsidRDefault="00CC55D9">
    <w:pPr>
      <w:pStyle w:val="af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26A0" w:rsidRDefault="005426A0">
      <w:pPr>
        <w:spacing w:after="0" w:line="240" w:lineRule="auto"/>
      </w:pPr>
      <w:r>
        <w:separator/>
      </w:r>
    </w:p>
  </w:footnote>
  <w:footnote w:type="continuationSeparator" w:id="0">
    <w:p w:rsidR="005426A0" w:rsidRDefault="005426A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0272A7"/>
    <w:multiLevelType w:val="hybridMultilevel"/>
    <w:tmpl w:val="7B284C46"/>
    <w:lvl w:ilvl="0" w:tplc="81C60BDA">
      <w:start w:val="1"/>
      <w:numFmt w:val="bullet"/>
      <w:lvlText w:val=""/>
      <w:lvlJc w:val="left"/>
      <w:pPr>
        <w:ind w:left="720" w:hanging="360"/>
      </w:pPr>
      <w:rPr>
        <w:rFonts w:ascii="Symbol" w:hAnsi="Symbol" w:hint="default"/>
      </w:rPr>
    </w:lvl>
    <w:lvl w:ilvl="1" w:tplc="EA9012FC">
      <w:start w:val="1"/>
      <w:numFmt w:val="bullet"/>
      <w:lvlText w:val="o"/>
      <w:lvlJc w:val="left"/>
      <w:pPr>
        <w:ind w:left="1440" w:hanging="360"/>
      </w:pPr>
      <w:rPr>
        <w:rFonts w:ascii="Courier New" w:hAnsi="Courier New" w:cs="Courier New" w:hint="default"/>
      </w:rPr>
    </w:lvl>
    <w:lvl w:ilvl="2" w:tplc="CBF28B2E">
      <w:start w:val="1"/>
      <w:numFmt w:val="bullet"/>
      <w:lvlText w:val=""/>
      <w:lvlJc w:val="left"/>
      <w:pPr>
        <w:ind w:left="2160" w:hanging="360"/>
      </w:pPr>
      <w:rPr>
        <w:rFonts w:ascii="Wingdings" w:hAnsi="Wingdings" w:hint="default"/>
      </w:rPr>
    </w:lvl>
    <w:lvl w:ilvl="3" w:tplc="DF262ED2">
      <w:start w:val="1"/>
      <w:numFmt w:val="bullet"/>
      <w:lvlText w:val=""/>
      <w:lvlJc w:val="left"/>
      <w:pPr>
        <w:ind w:left="2880" w:hanging="360"/>
      </w:pPr>
      <w:rPr>
        <w:rFonts w:ascii="Symbol" w:hAnsi="Symbol" w:hint="default"/>
      </w:rPr>
    </w:lvl>
    <w:lvl w:ilvl="4" w:tplc="BAD06428">
      <w:start w:val="1"/>
      <w:numFmt w:val="bullet"/>
      <w:lvlText w:val="o"/>
      <w:lvlJc w:val="left"/>
      <w:pPr>
        <w:ind w:left="3600" w:hanging="360"/>
      </w:pPr>
      <w:rPr>
        <w:rFonts w:ascii="Courier New" w:hAnsi="Courier New" w:cs="Courier New" w:hint="default"/>
      </w:rPr>
    </w:lvl>
    <w:lvl w:ilvl="5" w:tplc="DEB45786">
      <w:start w:val="1"/>
      <w:numFmt w:val="bullet"/>
      <w:lvlText w:val=""/>
      <w:lvlJc w:val="left"/>
      <w:pPr>
        <w:ind w:left="4320" w:hanging="360"/>
      </w:pPr>
      <w:rPr>
        <w:rFonts w:ascii="Wingdings" w:hAnsi="Wingdings" w:hint="default"/>
      </w:rPr>
    </w:lvl>
    <w:lvl w:ilvl="6" w:tplc="3DCC1AC8">
      <w:start w:val="1"/>
      <w:numFmt w:val="bullet"/>
      <w:lvlText w:val=""/>
      <w:lvlJc w:val="left"/>
      <w:pPr>
        <w:ind w:left="5040" w:hanging="360"/>
      </w:pPr>
      <w:rPr>
        <w:rFonts w:ascii="Symbol" w:hAnsi="Symbol" w:hint="default"/>
      </w:rPr>
    </w:lvl>
    <w:lvl w:ilvl="7" w:tplc="A9887110">
      <w:start w:val="1"/>
      <w:numFmt w:val="bullet"/>
      <w:lvlText w:val="o"/>
      <w:lvlJc w:val="left"/>
      <w:pPr>
        <w:ind w:left="5760" w:hanging="360"/>
      </w:pPr>
      <w:rPr>
        <w:rFonts w:ascii="Courier New" w:hAnsi="Courier New" w:cs="Courier New" w:hint="default"/>
      </w:rPr>
    </w:lvl>
    <w:lvl w:ilvl="8" w:tplc="F1A4DB36">
      <w:start w:val="1"/>
      <w:numFmt w:val="bullet"/>
      <w:lvlText w:val=""/>
      <w:lvlJc w:val="left"/>
      <w:pPr>
        <w:ind w:left="6480" w:hanging="360"/>
      </w:pPr>
      <w:rPr>
        <w:rFonts w:ascii="Wingdings" w:hAnsi="Wingdings" w:hint="default"/>
      </w:rPr>
    </w:lvl>
  </w:abstractNum>
  <w:abstractNum w:abstractNumId="1">
    <w:nsid w:val="1FF83682"/>
    <w:multiLevelType w:val="hybridMultilevel"/>
    <w:tmpl w:val="96FE05F4"/>
    <w:lvl w:ilvl="0" w:tplc="9D380BC6">
      <w:start w:val="3"/>
      <w:numFmt w:val="decimal"/>
      <w:lvlText w:val="%1."/>
      <w:lvlJc w:val="left"/>
      <w:pPr>
        <w:ind w:left="1069" w:hanging="360"/>
      </w:pPr>
      <w:rPr>
        <w:rFonts w:hint="default"/>
      </w:rPr>
    </w:lvl>
    <w:lvl w:ilvl="1" w:tplc="FB5A6B6E">
      <w:start w:val="1"/>
      <w:numFmt w:val="lowerLetter"/>
      <w:lvlText w:val="%2."/>
      <w:lvlJc w:val="left"/>
      <w:pPr>
        <w:ind w:left="1789" w:hanging="360"/>
      </w:pPr>
    </w:lvl>
    <w:lvl w:ilvl="2" w:tplc="DECE2E60">
      <w:start w:val="1"/>
      <w:numFmt w:val="lowerRoman"/>
      <w:lvlText w:val="%3."/>
      <w:lvlJc w:val="right"/>
      <w:pPr>
        <w:ind w:left="2509" w:hanging="180"/>
      </w:pPr>
    </w:lvl>
    <w:lvl w:ilvl="3" w:tplc="7FD0C484">
      <w:start w:val="1"/>
      <w:numFmt w:val="decimal"/>
      <w:lvlText w:val="%4."/>
      <w:lvlJc w:val="left"/>
      <w:pPr>
        <w:ind w:left="3229" w:hanging="360"/>
      </w:pPr>
    </w:lvl>
    <w:lvl w:ilvl="4" w:tplc="B6BE3BD8">
      <w:start w:val="1"/>
      <w:numFmt w:val="lowerLetter"/>
      <w:lvlText w:val="%5."/>
      <w:lvlJc w:val="left"/>
      <w:pPr>
        <w:ind w:left="3949" w:hanging="360"/>
      </w:pPr>
    </w:lvl>
    <w:lvl w:ilvl="5" w:tplc="1BF26676">
      <w:start w:val="1"/>
      <w:numFmt w:val="lowerRoman"/>
      <w:lvlText w:val="%6."/>
      <w:lvlJc w:val="right"/>
      <w:pPr>
        <w:ind w:left="4669" w:hanging="180"/>
      </w:pPr>
    </w:lvl>
    <w:lvl w:ilvl="6" w:tplc="46FA339A">
      <w:start w:val="1"/>
      <w:numFmt w:val="decimal"/>
      <w:lvlText w:val="%7."/>
      <w:lvlJc w:val="left"/>
      <w:pPr>
        <w:ind w:left="5389" w:hanging="360"/>
      </w:pPr>
    </w:lvl>
    <w:lvl w:ilvl="7" w:tplc="F208A598">
      <w:start w:val="1"/>
      <w:numFmt w:val="lowerLetter"/>
      <w:lvlText w:val="%8."/>
      <w:lvlJc w:val="left"/>
      <w:pPr>
        <w:ind w:left="6109" w:hanging="360"/>
      </w:pPr>
    </w:lvl>
    <w:lvl w:ilvl="8" w:tplc="56186592">
      <w:start w:val="1"/>
      <w:numFmt w:val="lowerRoman"/>
      <w:lvlText w:val="%9."/>
      <w:lvlJc w:val="right"/>
      <w:pPr>
        <w:ind w:left="6829" w:hanging="180"/>
      </w:pPr>
    </w:lvl>
  </w:abstractNum>
  <w:abstractNum w:abstractNumId="2">
    <w:nsid w:val="25B2671A"/>
    <w:multiLevelType w:val="hybridMultilevel"/>
    <w:tmpl w:val="155811E0"/>
    <w:lvl w:ilvl="0" w:tplc="17160F8E">
      <w:start w:val="1"/>
      <w:numFmt w:val="decimal"/>
      <w:lvlText w:val="%1."/>
      <w:lvlJc w:val="left"/>
      <w:pPr>
        <w:ind w:left="720" w:hanging="360"/>
      </w:pPr>
    </w:lvl>
    <w:lvl w:ilvl="1" w:tplc="091E1F2C">
      <w:start w:val="1"/>
      <w:numFmt w:val="lowerLetter"/>
      <w:lvlText w:val="%2."/>
      <w:lvlJc w:val="left"/>
      <w:pPr>
        <w:ind w:left="1440" w:hanging="360"/>
      </w:pPr>
    </w:lvl>
    <w:lvl w:ilvl="2" w:tplc="2B1C5CF0">
      <w:start w:val="1"/>
      <w:numFmt w:val="lowerRoman"/>
      <w:lvlText w:val="%3."/>
      <w:lvlJc w:val="right"/>
      <w:pPr>
        <w:ind w:left="2160" w:hanging="180"/>
      </w:pPr>
    </w:lvl>
    <w:lvl w:ilvl="3" w:tplc="DDF82818">
      <w:start w:val="1"/>
      <w:numFmt w:val="decimal"/>
      <w:lvlText w:val="%4."/>
      <w:lvlJc w:val="left"/>
      <w:pPr>
        <w:ind w:left="2880" w:hanging="360"/>
      </w:pPr>
    </w:lvl>
    <w:lvl w:ilvl="4" w:tplc="92EA8E06">
      <w:start w:val="1"/>
      <w:numFmt w:val="lowerLetter"/>
      <w:lvlText w:val="%5."/>
      <w:lvlJc w:val="left"/>
      <w:pPr>
        <w:ind w:left="3600" w:hanging="360"/>
      </w:pPr>
    </w:lvl>
    <w:lvl w:ilvl="5" w:tplc="F64A0118">
      <w:start w:val="1"/>
      <w:numFmt w:val="lowerRoman"/>
      <w:lvlText w:val="%6."/>
      <w:lvlJc w:val="right"/>
      <w:pPr>
        <w:ind w:left="4320" w:hanging="180"/>
      </w:pPr>
    </w:lvl>
    <w:lvl w:ilvl="6" w:tplc="5CA6CCBE">
      <w:start w:val="1"/>
      <w:numFmt w:val="decimal"/>
      <w:lvlText w:val="%7."/>
      <w:lvlJc w:val="left"/>
      <w:pPr>
        <w:ind w:left="5040" w:hanging="360"/>
      </w:pPr>
    </w:lvl>
    <w:lvl w:ilvl="7" w:tplc="15884CBA">
      <w:start w:val="1"/>
      <w:numFmt w:val="lowerLetter"/>
      <w:lvlText w:val="%8."/>
      <w:lvlJc w:val="left"/>
      <w:pPr>
        <w:ind w:left="5760" w:hanging="360"/>
      </w:pPr>
    </w:lvl>
    <w:lvl w:ilvl="8" w:tplc="CBD8C86A">
      <w:start w:val="1"/>
      <w:numFmt w:val="lowerRoman"/>
      <w:lvlText w:val="%9."/>
      <w:lvlJc w:val="right"/>
      <w:pPr>
        <w:ind w:left="6480" w:hanging="180"/>
      </w:pPr>
    </w:lvl>
  </w:abstractNum>
  <w:abstractNum w:abstractNumId="3">
    <w:nsid w:val="7FB50B5C"/>
    <w:multiLevelType w:val="hybridMultilevel"/>
    <w:tmpl w:val="E55A436A"/>
    <w:lvl w:ilvl="0" w:tplc="B3BCC92E">
      <w:start w:val="1"/>
      <w:numFmt w:val="decimal"/>
      <w:lvlText w:val="%1."/>
      <w:lvlJc w:val="left"/>
      <w:pPr>
        <w:ind w:left="720" w:hanging="360"/>
      </w:pPr>
    </w:lvl>
    <w:lvl w:ilvl="1" w:tplc="951CBAE0">
      <w:start w:val="1"/>
      <w:numFmt w:val="lowerLetter"/>
      <w:lvlText w:val="%2."/>
      <w:lvlJc w:val="left"/>
      <w:pPr>
        <w:ind w:left="1440" w:hanging="360"/>
      </w:pPr>
    </w:lvl>
    <w:lvl w:ilvl="2" w:tplc="9EC68810">
      <w:start w:val="1"/>
      <w:numFmt w:val="lowerRoman"/>
      <w:lvlText w:val="%3."/>
      <w:lvlJc w:val="right"/>
      <w:pPr>
        <w:ind w:left="2160" w:hanging="180"/>
      </w:pPr>
    </w:lvl>
    <w:lvl w:ilvl="3" w:tplc="44A8527E">
      <w:start w:val="1"/>
      <w:numFmt w:val="decimal"/>
      <w:lvlText w:val="%4."/>
      <w:lvlJc w:val="left"/>
      <w:pPr>
        <w:ind w:left="2880" w:hanging="360"/>
      </w:pPr>
    </w:lvl>
    <w:lvl w:ilvl="4" w:tplc="2B1645CC">
      <w:start w:val="1"/>
      <w:numFmt w:val="lowerLetter"/>
      <w:lvlText w:val="%5."/>
      <w:lvlJc w:val="left"/>
      <w:pPr>
        <w:ind w:left="3600" w:hanging="360"/>
      </w:pPr>
    </w:lvl>
    <w:lvl w:ilvl="5" w:tplc="37F41878">
      <w:start w:val="1"/>
      <w:numFmt w:val="lowerRoman"/>
      <w:lvlText w:val="%6."/>
      <w:lvlJc w:val="right"/>
      <w:pPr>
        <w:ind w:left="4320" w:hanging="180"/>
      </w:pPr>
    </w:lvl>
    <w:lvl w:ilvl="6" w:tplc="37B0C774">
      <w:start w:val="1"/>
      <w:numFmt w:val="decimal"/>
      <w:lvlText w:val="%7."/>
      <w:lvlJc w:val="left"/>
      <w:pPr>
        <w:ind w:left="5040" w:hanging="360"/>
      </w:pPr>
    </w:lvl>
    <w:lvl w:ilvl="7" w:tplc="32101EB2">
      <w:start w:val="1"/>
      <w:numFmt w:val="lowerLetter"/>
      <w:lvlText w:val="%8."/>
      <w:lvlJc w:val="left"/>
      <w:pPr>
        <w:ind w:left="5760" w:hanging="360"/>
      </w:pPr>
    </w:lvl>
    <w:lvl w:ilvl="8" w:tplc="193C5988">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55D9"/>
    <w:rsid w:val="00014281"/>
    <w:rsid w:val="00187F20"/>
    <w:rsid w:val="00427761"/>
    <w:rsid w:val="005426A0"/>
    <w:rsid w:val="005C1ECE"/>
    <w:rsid w:val="00A13D11"/>
    <w:rsid w:val="00C17240"/>
    <w:rsid w:val="00CC55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pPr>
      <w:keepNext/>
      <w:keepLines/>
      <w:spacing w:before="160" w:after="80"/>
      <w:outlineLvl w:val="2"/>
    </w:pPr>
    <w:rPr>
      <w:rFonts w:asciiTheme="minorHAnsi" w:eastAsiaTheme="majorEastAsia" w:hAnsiTheme="minorHAnsi" w:cstheme="majorBidi"/>
      <w:color w:val="2F5496" w:themeColor="accent1" w:themeShade="BF"/>
    </w:rPr>
  </w:style>
  <w:style w:type="paragraph" w:styleId="4">
    <w:name w:val="heading 4"/>
    <w:basedOn w:val="a"/>
    <w:next w:val="a"/>
    <w:link w:val="40"/>
    <w:uiPriority w:val="9"/>
    <w:semiHidden/>
    <w:unhideWhenUsed/>
    <w:qFormat/>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0"/>
    <w:uiPriority w:val="9"/>
    <w:semiHidden/>
    <w:unhideWhenUsed/>
    <w:qFormat/>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0"/>
    <w:uiPriority w:val="9"/>
    <w:semiHidden/>
    <w:unhideWhenUsed/>
    <w:qFormat/>
    <w:pPr>
      <w:keepNext/>
      <w:keepLines/>
      <w:spacing w:before="40" w:after="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pPr>
      <w:keepNext/>
      <w:keepLines/>
      <w:spacing w:before="40" w:after="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pPr>
      <w:keepNext/>
      <w:keepLines/>
      <w:spacing w:after="0"/>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Heading4Char">
    <w:name w:val="Heading 4 Char"/>
    <w:basedOn w:val="a0"/>
    <w:uiPriority w:val="9"/>
    <w:rPr>
      <w:rFonts w:ascii="Arial" w:eastAsia="Arial" w:hAnsi="Arial" w:cs="Arial"/>
      <w:b/>
      <w:bCs/>
      <w:sz w:val="26"/>
      <w:szCs w:val="26"/>
    </w:rPr>
  </w:style>
  <w:style w:type="character" w:customStyle="1" w:styleId="Heading5Char">
    <w:name w:val="Heading 5 Char"/>
    <w:basedOn w:val="a0"/>
    <w:uiPriority w:val="9"/>
    <w:rPr>
      <w:rFonts w:ascii="Arial" w:eastAsia="Arial" w:hAnsi="Arial" w:cs="Arial"/>
      <w:b/>
      <w:bCs/>
      <w:sz w:val="24"/>
      <w:szCs w:val="24"/>
    </w:rPr>
  </w:style>
  <w:style w:type="character" w:customStyle="1" w:styleId="Heading6Char">
    <w:name w:val="Heading 6 Char"/>
    <w:basedOn w:val="a0"/>
    <w:uiPriority w:val="9"/>
    <w:rPr>
      <w:rFonts w:ascii="Arial" w:eastAsia="Arial" w:hAnsi="Arial" w:cs="Arial"/>
      <w:b/>
      <w:bCs/>
      <w:sz w:val="22"/>
      <w:szCs w:val="22"/>
    </w:rPr>
  </w:style>
  <w:style w:type="character" w:customStyle="1" w:styleId="Heading7Char">
    <w:name w:val="Heading 7 Char"/>
    <w:basedOn w:val="a0"/>
    <w:uiPriority w:val="9"/>
    <w:rPr>
      <w:rFonts w:ascii="Arial" w:eastAsia="Arial" w:hAnsi="Arial" w:cs="Arial"/>
      <w:b/>
      <w:bCs/>
      <w:i/>
      <w:iCs/>
      <w:sz w:val="22"/>
      <w:szCs w:val="22"/>
    </w:rPr>
  </w:style>
  <w:style w:type="character" w:customStyle="1" w:styleId="Heading8Char">
    <w:name w:val="Heading 8 Char"/>
    <w:basedOn w:val="a0"/>
    <w:uiPriority w:val="9"/>
    <w:rPr>
      <w:rFonts w:ascii="Arial" w:eastAsia="Arial" w:hAnsi="Arial" w:cs="Arial"/>
      <w:i/>
      <w:iCs/>
      <w:sz w:val="22"/>
      <w:szCs w:val="22"/>
    </w:rPr>
  </w:style>
  <w:style w:type="character" w:customStyle="1" w:styleId="Heading9Char">
    <w:name w:val="Heading 9 Char"/>
    <w:basedOn w:val="a0"/>
    <w:uiPriority w:val="9"/>
    <w:rPr>
      <w:rFonts w:ascii="Arial" w:eastAsia="Arial" w:hAnsi="Arial" w:cs="Arial"/>
      <w:i/>
      <w:iCs/>
      <w:sz w:val="21"/>
      <w:szCs w:val="21"/>
    </w:rPr>
  </w:style>
  <w:style w:type="paragraph" w:styleId="a3">
    <w:name w:val="No Spacing"/>
    <w:uiPriority w:val="1"/>
    <w:qFormat/>
    <w:pPr>
      <w:spacing w:after="0" w:line="240" w:lineRule="auto"/>
    </w:pPr>
  </w:style>
  <w:style w:type="character" w:customStyle="1" w:styleId="TitleChar">
    <w:name w:val="Title Char"/>
    <w:basedOn w:val="a0"/>
    <w:uiPriority w:val="10"/>
    <w:rPr>
      <w:sz w:val="48"/>
      <w:szCs w:val="48"/>
    </w:rPr>
  </w:style>
  <w:style w:type="character" w:customStyle="1" w:styleId="SubtitleChar">
    <w:name w:val="Subtitle Char"/>
    <w:basedOn w:val="a0"/>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4">
    <w:name w:val="caption"/>
    <w:basedOn w:val="a"/>
    <w:next w:val="a"/>
    <w:link w:val="a5"/>
    <w:uiPriority w:val="35"/>
    <w:semiHidden/>
    <w:unhideWhenUsed/>
    <w:qFormat/>
    <w:pPr>
      <w:spacing w:line="276" w:lineRule="auto"/>
    </w:pPr>
    <w:rPr>
      <w:b/>
      <w:bCs/>
      <w:color w:val="4472C4" w:themeColor="accent1"/>
      <w:sz w:val="18"/>
      <w:szCs w:val="18"/>
    </w:rPr>
  </w:style>
  <w:style w:type="character" w:customStyle="1" w:styleId="a5">
    <w:name w:val="Название объекта Знак"/>
    <w:basedOn w:val="a0"/>
    <w:link w:val="a4"/>
    <w:uiPriority w:val="35"/>
    <w:rPr>
      <w:b/>
      <w:bCs/>
      <w:color w:val="4472C4" w:themeColor="accent1"/>
      <w:sz w:val="18"/>
      <w:szCs w:val="18"/>
    </w:rPr>
  </w:style>
  <w:style w:type="table" w:customStyle="1" w:styleId="TableGridLight">
    <w:name w:val="Table Grid Light"/>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Ind w:w="0" w:type="dxa"/>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Ind w:w="0" w:type="dxa"/>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Ind w:w="0" w:type="dxa"/>
      <w:tblBorders>
        <w:bottom w:val="single" w:sz="4" w:space="0" w:color="537DC8" w:themeColor="accent1" w:themeTint="EA"/>
        <w:insideH w:val="single" w:sz="4" w:space="0" w:color="537DC8" w:themeColor="accent1" w:themeTint="EA"/>
        <w:insideV w:val="single" w:sz="4" w:space="0" w:color="537DC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Ind w:w="0" w:type="dxa"/>
      <w:tblBorders>
        <w:bottom w:val="single" w:sz="4" w:space="0" w:color="5B9BD5" w:themeColor="accent5"/>
        <w:insideH w:val="single" w:sz="4" w:space="0" w:color="5B9BD5" w:themeColor="accent5"/>
        <w:insideV w:val="single" w:sz="4" w:space="0" w:color="5B9BD5"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Ind w:w="0" w:type="dxa"/>
      <w:tblBorders>
        <w:bottom w:val="single" w:sz="4" w:space="0" w:color="537DC8" w:themeColor="accent1" w:themeTint="EA"/>
        <w:insideH w:val="single" w:sz="4" w:space="0" w:color="537DC8" w:themeColor="accent1" w:themeTint="EA"/>
        <w:insideV w:val="single" w:sz="4" w:space="0" w:color="537DC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Ind w:w="0" w:type="dxa"/>
      <w:tblBorders>
        <w:bottom w:val="single" w:sz="4" w:space="0" w:color="5B9BD5" w:themeColor="accent5"/>
        <w:insideH w:val="single" w:sz="4" w:space="0" w:color="5B9BD5" w:themeColor="accent5"/>
        <w:insideV w:val="single" w:sz="4" w:space="0" w:color="5B9BD5"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1"/>
    <w:uiPriority w:val="59"/>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Ind w:w="0" w:type="dxa"/>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Ind w:w="0" w:type="dxa"/>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1"/>
    <w:uiPriority w:val="99"/>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Ind w:w="0" w:type="dxa"/>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CellMar>
        <w:top w:w="0" w:type="dxa"/>
        <w:left w:w="108" w:type="dxa"/>
        <w:bottom w:w="0" w:type="dxa"/>
        <w:right w:w="108" w:type="dxa"/>
      </w:tblCellMar>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Ind w:w="0" w:type="dxa"/>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CellMar>
        <w:top w:w="0" w:type="dxa"/>
        <w:left w:w="108" w:type="dxa"/>
        <w:bottom w:w="0" w:type="dxa"/>
        <w:right w:w="108" w:type="dxa"/>
      </w:tblCellMar>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customStyle="1" w:styleId="GridTable7Colorful">
    <w:name w:val="Grid Table 7 Colorful"/>
    <w:basedOn w:val="a1"/>
    <w:uiPriority w:val="99"/>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Ind w:w="0" w:type="dxa"/>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CellMar>
        <w:top w:w="0" w:type="dxa"/>
        <w:left w:w="108" w:type="dxa"/>
        <w:bottom w:w="0" w:type="dxa"/>
        <w:right w:w="108" w:type="dxa"/>
      </w:tblCellMar>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Ind w:w="0" w:type="dxa"/>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CellMar>
        <w:top w:w="0" w:type="dxa"/>
        <w:left w:w="108" w:type="dxa"/>
        <w:bottom w:w="0" w:type="dxa"/>
        <w:right w:w="108" w:type="dxa"/>
      </w:tblCellMar>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1"/>
    <w:uiPriority w:val="99"/>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Ind w:w="0" w:type="dxa"/>
      <w:tblBorders>
        <w:top w:val="single" w:sz="4" w:space="0" w:color="95AFDD" w:themeColor="accent1" w:themeTint="90"/>
        <w:bottom w:val="single" w:sz="4" w:space="0" w:color="95AFDD" w:themeColor="accent1" w:themeTint="90"/>
        <w:insideH w:val="single" w:sz="4" w:space="0" w:color="95AFDD"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Ind w:w="0" w:type="dxa"/>
      <w:tblBorders>
        <w:top w:val="single" w:sz="4" w:space="0" w:color="A2C6E7" w:themeColor="accent5" w:themeTint="90"/>
        <w:bottom w:val="single" w:sz="4" w:space="0" w:color="A2C6E7" w:themeColor="accent5" w:themeTint="90"/>
        <w:insideH w:val="single" w:sz="4" w:space="0" w:color="A2C6E7"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Ind w:w="0" w:type="dxa"/>
      <w:tblBorders>
        <w:top w:val="single" w:sz="4" w:space="0" w:color="4472C4" w:themeColor="accent1"/>
        <w:left w:val="single" w:sz="4" w:space="0" w:color="4472C4" w:themeColor="accent1"/>
        <w:bottom w:val="single" w:sz="4" w:space="0" w:color="4472C4" w:themeColor="accent1"/>
        <w:right w:val="single" w:sz="4" w:space="0" w:color="4472C4"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Ind w:w="0" w:type="dxa"/>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Ind w:w="0" w:type="dxa"/>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Ind w:w="0" w:type="dxa"/>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1"/>
    <w:uiPriority w:val="99"/>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Ind w:w="0" w:type="dxa"/>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Ind w:w="0" w:type="dxa"/>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1"/>
    <w:uiPriority w:val="99"/>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Ind w:w="0" w:type="dxa"/>
      <w:tblBorders>
        <w:top w:val="single" w:sz="4" w:space="0" w:color="4472C4" w:themeColor="accent1"/>
        <w:bottom w:val="single" w:sz="4" w:space="0" w:color="4472C4" w:themeColor="accent1"/>
      </w:tblBorders>
      <w:tblCellMar>
        <w:top w:w="0" w:type="dxa"/>
        <w:left w:w="108" w:type="dxa"/>
        <w:bottom w:w="0" w:type="dxa"/>
        <w:right w:w="108" w:type="dxa"/>
      </w:tblCellMar>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Ind w:w="0" w:type="dxa"/>
      <w:tblBorders>
        <w:top w:val="single" w:sz="4" w:space="0" w:color="9BC2E5" w:themeColor="accent5" w:themeTint="9A"/>
        <w:bottom w:val="single" w:sz="4" w:space="0" w:color="9BC2E5" w:themeColor="accent5" w:themeTint="9A"/>
      </w:tblBorders>
      <w:tblCellMar>
        <w:top w:w="0" w:type="dxa"/>
        <w:left w:w="108" w:type="dxa"/>
        <w:bottom w:w="0" w:type="dxa"/>
        <w:right w:w="108" w:type="dxa"/>
      </w:tblCellMar>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1"/>
    <w:uiPriority w:val="99"/>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Ind w:w="0" w:type="dxa"/>
      <w:tblBorders>
        <w:right w:val="single" w:sz="4" w:space="0" w:color="4472C4" w:themeColor="accent1"/>
      </w:tblBorders>
      <w:tblCellMar>
        <w:top w:w="0" w:type="dxa"/>
        <w:left w:w="108" w:type="dxa"/>
        <w:bottom w:w="0" w:type="dxa"/>
        <w:right w:w="108" w:type="dxa"/>
      </w:tblCellMar>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Ind w:w="0" w:type="dxa"/>
      <w:tblBorders>
        <w:right w:val="single" w:sz="4" w:space="0" w:color="9BC2E5" w:themeColor="accent5" w:themeTint="9A"/>
      </w:tblBorders>
      <w:tblCellMar>
        <w:top w:w="0" w:type="dxa"/>
        <w:left w:w="108" w:type="dxa"/>
        <w:bottom w:w="0" w:type="dxa"/>
        <w:right w:w="108" w:type="dxa"/>
      </w:tblCellMar>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Ind w:w="0" w:type="dxa"/>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Ind w:w="0" w:type="dxa"/>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6">
    <w:name w:val="footnote text"/>
    <w:basedOn w:val="a"/>
    <w:link w:val="a7"/>
    <w:uiPriority w:val="99"/>
    <w:semiHidden/>
    <w:unhideWhenUsed/>
    <w:pPr>
      <w:spacing w:after="40" w:line="240" w:lineRule="auto"/>
    </w:pPr>
    <w:rPr>
      <w:sz w:val="18"/>
    </w:rPr>
  </w:style>
  <w:style w:type="character" w:customStyle="1" w:styleId="a7">
    <w:name w:val="Текст сноски Знак"/>
    <w:link w:val="a6"/>
    <w:uiPriority w:val="99"/>
    <w:rPr>
      <w:sz w:val="18"/>
    </w:rPr>
  </w:style>
  <w:style w:type="character" w:styleId="a8">
    <w:name w:val="footnote reference"/>
    <w:basedOn w:val="a0"/>
    <w:uiPriority w:val="99"/>
    <w:unhideWhenUsed/>
    <w:rPr>
      <w:vertAlign w:val="superscript"/>
    </w:rPr>
  </w:style>
  <w:style w:type="paragraph" w:styleId="a9">
    <w:name w:val="endnote text"/>
    <w:basedOn w:val="a"/>
    <w:link w:val="aa"/>
    <w:uiPriority w:val="99"/>
    <w:semiHidden/>
    <w:unhideWhenUsed/>
    <w:pPr>
      <w:spacing w:after="0" w:line="240" w:lineRule="auto"/>
    </w:pPr>
    <w:rPr>
      <w:sz w:val="20"/>
    </w:rPr>
  </w:style>
  <w:style w:type="character" w:customStyle="1" w:styleId="aa">
    <w:name w:val="Текст концевой сноски Знак"/>
    <w:link w:val="a9"/>
    <w:uiPriority w:val="99"/>
    <w:rPr>
      <w:sz w:val="20"/>
    </w:rPr>
  </w:style>
  <w:style w:type="character" w:styleId="ab">
    <w:name w:val="endnote reference"/>
    <w:basedOn w:val="a0"/>
    <w:uiPriority w:val="99"/>
    <w:semiHidden/>
    <w:unhideWhenUsed/>
    <w:rPr>
      <w:vertAlign w:val="superscript"/>
    </w:rPr>
  </w:style>
  <w:style w:type="paragraph" w:styleId="11">
    <w:name w:val="toc 1"/>
    <w:basedOn w:val="a"/>
    <w:next w:val="a"/>
    <w:uiPriority w:val="39"/>
    <w:unhideWhenUsed/>
    <w:pPr>
      <w:spacing w:after="57"/>
    </w:pPr>
  </w:style>
  <w:style w:type="paragraph" w:styleId="21">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c">
    <w:name w:val="TOC Heading"/>
    <w:uiPriority w:val="39"/>
    <w:unhideWhenUsed/>
  </w:style>
  <w:style w:type="paragraph" w:styleId="ad">
    <w:name w:val="table of figures"/>
    <w:basedOn w:val="a"/>
    <w:next w:val="a"/>
    <w:uiPriority w:val="99"/>
    <w:unhideWhenUsed/>
    <w:pPr>
      <w:spacing w:after="0"/>
    </w:pPr>
  </w:style>
  <w:style w:type="character" w:customStyle="1" w:styleId="10">
    <w:name w:val="Заголовок 1 Знак"/>
    <w:basedOn w:val="a0"/>
    <w:link w:val="1"/>
    <w:uiPriority w:val="9"/>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Pr>
      <w:rFonts w:asciiTheme="minorHAnsi" w:eastAsiaTheme="majorEastAsia" w:hAnsiTheme="minorHAnsi" w:cstheme="majorBidi"/>
      <w:color w:val="2F5496" w:themeColor="accent1" w:themeShade="BF"/>
    </w:rPr>
  </w:style>
  <w:style w:type="character" w:customStyle="1" w:styleId="40">
    <w:name w:val="Заголовок 4 Знак"/>
    <w:basedOn w:val="a0"/>
    <w:link w:val="4"/>
    <w:uiPriority w:val="9"/>
    <w:semiHidden/>
    <w:rPr>
      <w:rFonts w:asciiTheme="minorHAnsi" w:eastAsiaTheme="majorEastAsia" w:hAnsiTheme="minorHAnsi" w:cstheme="majorBidi"/>
      <w:i/>
      <w:iCs/>
      <w:color w:val="2F5496" w:themeColor="accent1" w:themeShade="BF"/>
    </w:rPr>
  </w:style>
  <w:style w:type="character" w:customStyle="1" w:styleId="50">
    <w:name w:val="Заголовок 5 Знак"/>
    <w:basedOn w:val="a0"/>
    <w:link w:val="5"/>
    <w:uiPriority w:val="9"/>
    <w:semiHidden/>
    <w:rPr>
      <w:rFonts w:asciiTheme="minorHAnsi" w:eastAsiaTheme="majorEastAsia" w:hAnsiTheme="minorHAnsi" w:cstheme="majorBidi"/>
      <w:color w:val="2F5496" w:themeColor="accent1" w:themeShade="BF"/>
    </w:rPr>
  </w:style>
  <w:style w:type="character" w:customStyle="1" w:styleId="60">
    <w:name w:val="Заголовок 6 Знак"/>
    <w:basedOn w:val="a0"/>
    <w:link w:val="6"/>
    <w:uiPriority w:val="9"/>
    <w:semiHidden/>
    <w:rPr>
      <w:rFonts w:asciiTheme="minorHAnsi" w:eastAsiaTheme="majorEastAsia" w:hAnsiTheme="minorHAnsi" w:cstheme="majorBidi"/>
      <w:i/>
      <w:iCs/>
      <w:color w:val="595959" w:themeColor="text1" w:themeTint="A6"/>
    </w:rPr>
  </w:style>
  <w:style w:type="character" w:customStyle="1" w:styleId="70">
    <w:name w:val="Заголовок 7 Знак"/>
    <w:basedOn w:val="a0"/>
    <w:link w:val="7"/>
    <w:uiPriority w:val="9"/>
    <w:semiHidden/>
    <w:rPr>
      <w:rFonts w:asciiTheme="minorHAnsi" w:eastAsiaTheme="majorEastAsia" w:hAnsiTheme="minorHAnsi" w:cstheme="majorBidi"/>
      <w:color w:val="595959" w:themeColor="text1" w:themeTint="A6"/>
    </w:rPr>
  </w:style>
  <w:style w:type="character" w:customStyle="1" w:styleId="80">
    <w:name w:val="Заголовок 8 Знак"/>
    <w:basedOn w:val="a0"/>
    <w:link w:val="8"/>
    <w:uiPriority w:val="9"/>
    <w:semiHidden/>
    <w:rPr>
      <w:rFonts w:asciiTheme="minorHAnsi" w:eastAsiaTheme="majorEastAsia" w:hAnsiTheme="minorHAnsi" w:cstheme="majorBidi"/>
      <w:i/>
      <w:iCs/>
      <w:color w:val="272727" w:themeColor="text1" w:themeTint="D8"/>
    </w:rPr>
  </w:style>
  <w:style w:type="character" w:customStyle="1" w:styleId="90">
    <w:name w:val="Заголовок 9 Знак"/>
    <w:basedOn w:val="a0"/>
    <w:link w:val="9"/>
    <w:uiPriority w:val="9"/>
    <w:semiHidden/>
    <w:rPr>
      <w:rFonts w:asciiTheme="minorHAnsi" w:eastAsiaTheme="majorEastAsia" w:hAnsiTheme="minorHAnsi" w:cstheme="majorBidi"/>
      <w:color w:val="272727" w:themeColor="text1" w:themeTint="D8"/>
    </w:rPr>
  </w:style>
  <w:style w:type="paragraph" w:styleId="ae">
    <w:name w:val="Title"/>
    <w:basedOn w:val="a"/>
    <w:next w:val="a"/>
    <w:link w:val="af"/>
    <w:uiPriority w:val="10"/>
    <w:qFormat/>
    <w:pPr>
      <w:spacing w:after="80" w:line="240" w:lineRule="auto"/>
      <w:contextualSpacing/>
    </w:pPr>
    <w:rPr>
      <w:rFonts w:asciiTheme="majorHAnsi" w:eastAsiaTheme="majorEastAsia" w:hAnsiTheme="majorHAnsi" w:cstheme="majorBidi"/>
      <w:spacing w:val="-10"/>
      <w:sz w:val="56"/>
      <w:szCs w:val="56"/>
    </w:rPr>
  </w:style>
  <w:style w:type="character" w:customStyle="1" w:styleId="af">
    <w:name w:val="Название Знак"/>
    <w:basedOn w:val="a0"/>
    <w:link w:val="ae"/>
    <w:uiPriority w:val="10"/>
    <w:rPr>
      <w:rFonts w:asciiTheme="majorHAnsi" w:eastAsiaTheme="majorEastAsia" w:hAnsiTheme="majorHAnsi" w:cstheme="majorBidi"/>
      <w:spacing w:val="-10"/>
      <w:sz w:val="56"/>
      <w:szCs w:val="56"/>
    </w:rPr>
  </w:style>
  <w:style w:type="paragraph" w:styleId="af0">
    <w:name w:val="Subtitle"/>
    <w:basedOn w:val="a"/>
    <w:next w:val="a"/>
    <w:link w:val="af1"/>
    <w:uiPriority w:val="11"/>
    <w:qFormat/>
    <w:pPr>
      <w:numPr>
        <w:ilvl w:val="1"/>
      </w:numPr>
    </w:pPr>
    <w:rPr>
      <w:rFonts w:asciiTheme="minorHAnsi" w:eastAsiaTheme="majorEastAsia" w:hAnsiTheme="minorHAnsi" w:cstheme="majorBidi"/>
      <w:color w:val="595959" w:themeColor="text1" w:themeTint="A6"/>
      <w:spacing w:val="15"/>
    </w:rPr>
  </w:style>
  <w:style w:type="character" w:customStyle="1" w:styleId="af1">
    <w:name w:val="Подзаголовок Знак"/>
    <w:basedOn w:val="a0"/>
    <w:link w:val="af0"/>
    <w:uiPriority w:val="11"/>
    <w:rPr>
      <w:rFonts w:asciiTheme="minorHAnsi" w:eastAsiaTheme="majorEastAsia" w:hAnsiTheme="minorHAnsi" w:cstheme="majorBidi"/>
      <w:color w:val="595959" w:themeColor="text1" w:themeTint="A6"/>
      <w:spacing w:val="15"/>
    </w:rPr>
  </w:style>
  <w:style w:type="paragraph" w:styleId="22">
    <w:name w:val="Quote"/>
    <w:basedOn w:val="a"/>
    <w:next w:val="a"/>
    <w:link w:val="23"/>
    <w:uiPriority w:val="29"/>
    <w:qFormat/>
    <w:pPr>
      <w:spacing w:before="160"/>
      <w:jc w:val="center"/>
    </w:pPr>
    <w:rPr>
      <w:i/>
      <w:iCs/>
      <w:color w:val="404040" w:themeColor="text1" w:themeTint="BF"/>
    </w:rPr>
  </w:style>
  <w:style w:type="character" w:customStyle="1" w:styleId="23">
    <w:name w:val="Цитата 2 Знак"/>
    <w:basedOn w:val="a0"/>
    <w:link w:val="22"/>
    <w:uiPriority w:val="29"/>
    <w:rPr>
      <w:i/>
      <w:iCs/>
      <w:color w:val="404040" w:themeColor="text1" w:themeTint="BF"/>
    </w:rPr>
  </w:style>
  <w:style w:type="paragraph" w:styleId="af2">
    <w:name w:val="List Paragraph"/>
    <w:basedOn w:val="a"/>
    <w:uiPriority w:val="34"/>
    <w:qFormat/>
    <w:pPr>
      <w:ind w:left="720"/>
      <w:contextualSpacing/>
    </w:pPr>
  </w:style>
  <w:style w:type="character" w:styleId="af3">
    <w:name w:val="Intense Emphasis"/>
    <w:basedOn w:val="a0"/>
    <w:uiPriority w:val="21"/>
    <w:qFormat/>
    <w:rPr>
      <w:i/>
      <w:iCs/>
      <w:color w:val="2F5496" w:themeColor="accent1" w:themeShade="BF"/>
    </w:rPr>
  </w:style>
  <w:style w:type="paragraph" w:styleId="af4">
    <w:name w:val="Intense Quote"/>
    <w:basedOn w:val="a"/>
    <w:next w:val="a"/>
    <w:link w:val="af5"/>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5">
    <w:name w:val="Выделенная цитата Знак"/>
    <w:basedOn w:val="a0"/>
    <w:link w:val="af4"/>
    <w:uiPriority w:val="30"/>
    <w:rPr>
      <w:i/>
      <w:iCs/>
      <w:color w:val="2F5496" w:themeColor="accent1" w:themeShade="BF"/>
    </w:rPr>
  </w:style>
  <w:style w:type="character" w:styleId="af6">
    <w:name w:val="Intense Reference"/>
    <w:basedOn w:val="a0"/>
    <w:uiPriority w:val="32"/>
    <w:qFormat/>
    <w:rPr>
      <w:b/>
      <w:bCs/>
      <w:smallCaps/>
      <w:color w:val="2F5496" w:themeColor="accent1" w:themeShade="BF"/>
      <w:spacing w:val="5"/>
    </w:rPr>
  </w:style>
  <w:style w:type="character" w:styleId="af7">
    <w:name w:val="Hyperlink"/>
    <w:basedOn w:val="a0"/>
    <w:uiPriority w:val="99"/>
    <w:unhideWhenUsed/>
    <w:rPr>
      <w:color w:val="0563C1" w:themeColor="hyperlink"/>
      <w:u w:val="single"/>
    </w:rPr>
  </w:style>
  <w:style w:type="character" w:customStyle="1" w:styleId="UnresolvedMention">
    <w:name w:val="Unresolved Mention"/>
    <w:basedOn w:val="a0"/>
    <w:uiPriority w:val="99"/>
    <w:semiHidden/>
    <w:unhideWhenUsed/>
    <w:rPr>
      <w:color w:val="605E5C"/>
      <w:shd w:val="clear" w:color="auto" w:fill="E1DFDD"/>
    </w:rPr>
  </w:style>
  <w:style w:type="character" w:styleId="af8">
    <w:name w:val="FollowedHyperlink"/>
    <w:basedOn w:val="a0"/>
    <w:uiPriority w:val="99"/>
    <w:semiHidden/>
    <w:unhideWhenUsed/>
    <w:rPr>
      <w:color w:val="954F72" w:themeColor="followedHyperlink"/>
      <w:u w:val="single"/>
    </w:rPr>
  </w:style>
  <w:style w:type="table" w:styleId="af9">
    <w:name w:val="Table Grid"/>
    <w:basedOn w:val="a1"/>
    <w:uiPriority w:val="3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a">
    <w:name w:val="header"/>
    <w:basedOn w:val="a"/>
    <w:link w:val="afb"/>
    <w:uiPriority w:val="99"/>
    <w:unhideWhenUsed/>
    <w:pPr>
      <w:tabs>
        <w:tab w:val="center" w:pos="4677"/>
        <w:tab w:val="right" w:pos="9355"/>
      </w:tabs>
      <w:spacing w:after="0" w:line="240" w:lineRule="auto"/>
    </w:pPr>
  </w:style>
  <w:style w:type="character" w:customStyle="1" w:styleId="afb">
    <w:name w:val="Верхний колонтитул Знак"/>
    <w:basedOn w:val="a0"/>
    <w:link w:val="afa"/>
    <w:uiPriority w:val="99"/>
  </w:style>
  <w:style w:type="paragraph" w:styleId="afc">
    <w:name w:val="footer"/>
    <w:basedOn w:val="a"/>
    <w:link w:val="afd"/>
    <w:uiPriority w:val="99"/>
    <w:unhideWhenUsed/>
    <w:pPr>
      <w:tabs>
        <w:tab w:val="center" w:pos="4677"/>
        <w:tab w:val="right" w:pos="9355"/>
      </w:tabs>
      <w:spacing w:after="0" w:line="240" w:lineRule="auto"/>
    </w:pPr>
  </w:style>
  <w:style w:type="character" w:customStyle="1" w:styleId="afd">
    <w:name w:val="Нижний колонтитул Знак"/>
    <w:basedOn w:val="a0"/>
    <w:link w:val="afc"/>
    <w:uiPriority w:val="99"/>
  </w:style>
  <w:style w:type="paragraph" w:customStyle="1" w:styleId="StGen0">
    <w:name w:val="StGen0"/>
    <w:basedOn w:val="a"/>
    <w:next w:val="afe"/>
    <w:uiPriority w:val="99"/>
    <w:unhideWhenUsed/>
    <w:pPr>
      <w:spacing w:before="100" w:beforeAutospacing="1" w:after="100" w:afterAutospacing="1" w:line="240" w:lineRule="auto"/>
    </w:pPr>
    <w:rPr>
      <w:rFonts w:eastAsia="Times New Roman"/>
      <w:sz w:val="24"/>
      <w:szCs w:val="24"/>
      <w:lang w:eastAsia="ru-RU"/>
    </w:rPr>
  </w:style>
  <w:style w:type="character" w:customStyle="1" w:styleId="rynqvb">
    <w:name w:val="rynqvb"/>
    <w:basedOn w:val="a0"/>
  </w:style>
  <w:style w:type="paragraph" w:styleId="afe">
    <w:name w:val="Normal (Web)"/>
    <w:basedOn w:val="a"/>
    <w:uiPriority w:val="99"/>
    <w:semiHidden/>
    <w:unhideWhenUsed/>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pPr>
      <w:keepNext/>
      <w:keepLines/>
      <w:spacing w:before="160" w:after="80"/>
      <w:outlineLvl w:val="2"/>
    </w:pPr>
    <w:rPr>
      <w:rFonts w:asciiTheme="minorHAnsi" w:eastAsiaTheme="majorEastAsia" w:hAnsiTheme="minorHAnsi" w:cstheme="majorBidi"/>
      <w:color w:val="2F5496" w:themeColor="accent1" w:themeShade="BF"/>
    </w:rPr>
  </w:style>
  <w:style w:type="paragraph" w:styleId="4">
    <w:name w:val="heading 4"/>
    <w:basedOn w:val="a"/>
    <w:next w:val="a"/>
    <w:link w:val="40"/>
    <w:uiPriority w:val="9"/>
    <w:semiHidden/>
    <w:unhideWhenUsed/>
    <w:qFormat/>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0"/>
    <w:uiPriority w:val="9"/>
    <w:semiHidden/>
    <w:unhideWhenUsed/>
    <w:qFormat/>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0"/>
    <w:uiPriority w:val="9"/>
    <w:semiHidden/>
    <w:unhideWhenUsed/>
    <w:qFormat/>
    <w:pPr>
      <w:keepNext/>
      <w:keepLines/>
      <w:spacing w:before="40" w:after="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pPr>
      <w:keepNext/>
      <w:keepLines/>
      <w:spacing w:before="40" w:after="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pPr>
      <w:keepNext/>
      <w:keepLines/>
      <w:spacing w:after="0"/>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Heading4Char">
    <w:name w:val="Heading 4 Char"/>
    <w:basedOn w:val="a0"/>
    <w:uiPriority w:val="9"/>
    <w:rPr>
      <w:rFonts w:ascii="Arial" w:eastAsia="Arial" w:hAnsi="Arial" w:cs="Arial"/>
      <w:b/>
      <w:bCs/>
      <w:sz w:val="26"/>
      <w:szCs w:val="26"/>
    </w:rPr>
  </w:style>
  <w:style w:type="character" w:customStyle="1" w:styleId="Heading5Char">
    <w:name w:val="Heading 5 Char"/>
    <w:basedOn w:val="a0"/>
    <w:uiPriority w:val="9"/>
    <w:rPr>
      <w:rFonts w:ascii="Arial" w:eastAsia="Arial" w:hAnsi="Arial" w:cs="Arial"/>
      <w:b/>
      <w:bCs/>
      <w:sz w:val="24"/>
      <w:szCs w:val="24"/>
    </w:rPr>
  </w:style>
  <w:style w:type="character" w:customStyle="1" w:styleId="Heading6Char">
    <w:name w:val="Heading 6 Char"/>
    <w:basedOn w:val="a0"/>
    <w:uiPriority w:val="9"/>
    <w:rPr>
      <w:rFonts w:ascii="Arial" w:eastAsia="Arial" w:hAnsi="Arial" w:cs="Arial"/>
      <w:b/>
      <w:bCs/>
      <w:sz w:val="22"/>
      <w:szCs w:val="22"/>
    </w:rPr>
  </w:style>
  <w:style w:type="character" w:customStyle="1" w:styleId="Heading7Char">
    <w:name w:val="Heading 7 Char"/>
    <w:basedOn w:val="a0"/>
    <w:uiPriority w:val="9"/>
    <w:rPr>
      <w:rFonts w:ascii="Arial" w:eastAsia="Arial" w:hAnsi="Arial" w:cs="Arial"/>
      <w:b/>
      <w:bCs/>
      <w:i/>
      <w:iCs/>
      <w:sz w:val="22"/>
      <w:szCs w:val="22"/>
    </w:rPr>
  </w:style>
  <w:style w:type="character" w:customStyle="1" w:styleId="Heading8Char">
    <w:name w:val="Heading 8 Char"/>
    <w:basedOn w:val="a0"/>
    <w:uiPriority w:val="9"/>
    <w:rPr>
      <w:rFonts w:ascii="Arial" w:eastAsia="Arial" w:hAnsi="Arial" w:cs="Arial"/>
      <w:i/>
      <w:iCs/>
      <w:sz w:val="22"/>
      <w:szCs w:val="22"/>
    </w:rPr>
  </w:style>
  <w:style w:type="character" w:customStyle="1" w:styleId="Heading9Char">
    <w:name w:val="Heading 9 Char"/>
    <w:basedOn w:val="a0"/>
    <w:uiPriority w:val="9"/>
    <w:rPr>
      <w:rFonts w:ascii="Arial" w:eastAsia="Arial" w:hAnsi="Arial" w:cs="Arial"/>
      <w:i/>
      <w:iCs/>
      <w:sz w:val="21"/>
      <w:szCs w:val="21"/>
    </w:rPr>
  </w:style>
  <w:style w:type="paragraph" w:styleId="a3">
    <w:name w:val="No Spacing"/>
    <w:uiPriority w:val="1"/>
    <w:qFormat/>
    <w:pPr>
      <w:spacing w:after="0" w:line="240" w:lineRule="auto"/>
    </w:pPr>
  </w:style>
  <w:style w:type="character" w:customStyle="1" w:styleId="TitleChar">
    <w:name w:val="Title Char"/>
    <w:basedOn w:val="a0"/>
    <w:uiPriority w:val="10"/>
    <w:rPr>
      <w:sz w:val="48"/>
      <w:szCs w:val="48"/>
    </w:rPr>
  </w:style>
  <w:style w:type="character" w:customStyle="1" w:styleId="SubtitleChar">
    <w:name w:val="Subtitle Char"/>
    <w:basedOn w:val="a0"/>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4">
    <w:name w:val="caption"/>
    <w:basedOn w:val="a"/>
    <w:next w:val="a"/>
    <w:link w:val="a5"/>
    <w:uiPriority w:val="35"/>
    <w:semiHidden/>
    <w:unhideWhenUsed/>
    <w:qFormat/>
    <w:pPr>
      <w:spacing w:line="276" w:lineRule="auto"/>
    </w:pPr>
    <w:rPr>
      <w:b/>
      <w:bCs/>
      <w:color w:val="4472C4" w:themeColor="accent1"/>
      <w:sz w:val="18"/>
      <w:szCs w:val="18"/>
    </w:rPr>
  </w:style>
  <w:style w:type="character" w:customStyle="1" w:styleId="a5">
    <w:name w:val="Название объекта Знак"/>
    <w:basedOn w:val="a0"/>
    <w:link w:val="a4"/>
    <w:uiPriority w:val="35"/>
    <w:rPr>
      <w:b/>
      <w:bCs/>
      <w:color w:val="4472C4" w:themeColor="accent1"/>
      <w:sz w:val="18"/>
      <w:szCs w:val="18"/>
    </w:rPr>
  </w:style>
  <w:style w:type="table" w:customStyle="1" w:styleId="TableGridLight">
    <w:name w:val="Table Grid Light"/>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Ind w:w="0" w:type="dxa"/>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Ind w:w="0" w:type="dxa"/>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Ind w:w="0" w:type="dxa"/>
      <w:tblBorders>
        <w:bottom w:val="single" w:sz="4" w:space="0" w:color="537DC8" w:themeColor="accent1" w:themeTint="EA"/>
        <w:insideH w:val="single" w:sz="4" w:space="0" w:color="537DC8" w:themeColor="accent1" w:themeTint="EA"/>
        <w:insideV w:val="single" w:sz="4" w:space="0" w:color="537DC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Ind w:w="0" w:type="dxa"/>
      <w:tblBorders>
        <w:bottom w:val="single" w:sz="4" w:space="0" w:color="5B9BD5" w:themeColor="accent5"/>
        <w:insideH w:val="single" w:sz="4" w:space="0" w:color="5B9BD5" w:themeColor="accent5"/>
        <w:insideV w:val="single" w:sz="4" w:space="0" w:color="5B9BD5"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Ind w:w="0" w:type="dxa"/>
      <w:tblBorders>
        <w:bottom w:val="single" w:sz="4" w:space="0" w:color="537DC8" w:themeColor="accent1" w:themeTint="EA"/>
        <w:insideH w:val="single" w:sz="4" w:space="0" w:color="537DC8" w:themeColor="accent1" w:themeTint="EA"/>
        <w:insideV w:val="single" w:sz="4" w:space="0" w:color="537DC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Ind w:w="0" w:type="dxa"/>
      <w:tblBorders>
        <w:bottom w:val="single" w:sz="4" w:space="0" w:color="5B9BD5" w:themeColor="accent5"/>
        <w:insideH w:val="single" w:sz="4" w:space="0" w:color="5B9BD5" w:themeColor="accent5"/>
        <w:insideV w:val="single" w:sz="4" w:space="0" w:color="5B9BD5"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1"/>
    <w:uiPriority w:val="59"/>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Ind w:w="0" w:type="dxa"/>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Ind w:w="0" w:type="dxa"/>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1"/>
    <w:uiPriority w:val="99"/>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Ind w:w="0" w:type="dxa"/>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CellMar>
        <w:top w:w="0" w:type="dxa"/>
        <w:left w:w="108" w:type="dxa"/>
        <w:bottom w:w="0" w:type="dxa"/>
        <w:right w:w="108" w:type="dxa"/>
      </w:tblCellMar>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Ind w:w="0" w:type="dxa"/>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CellMar>
        <w:top w:w="0" w:type="dxa"/>
        <w:left w:w="108" w:type="dxa"/>
        <w:bottom w:w="0" w:type="dxa"/>
        <w:right w:w="108" w:type="dxa"/>
      </w:tblCellMar>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customStyle="1" w:styleId="GridTable7Colorful">
    <w:name w:val="Grid Table 7 Colorful"/>
    <w:basedOn w:val="a1"/>
    <w:uiPriority w:val="99"/>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Ind w:w="0" w:type="dxa"/>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CellMar>
        <w:top w:w="0" w:type="dxa"/>
        <w:left w:w="108" w:type="dxa"/>
        <w:bottom w:w="0" w:type="dxa"/>
        <w:right w:w="108" w:type="dxa"/>
      </w:tblCellMar>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Ind w:w="0" w:type="dxa"/>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CellMar>
        <w:top w:w="0" w:type="dxa"/>
        <w:left w:w="108" w:type="dxa"/>
        <w:bottom w:w="0" w:type="dxa"/>
        <w:right w:w="108" w:type="dxa"/>
      </w:tblCellMar>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1"/>
    <w:uiPriority w:val="99"/>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Ind w:w="0" w:type="dxa"/>
      <w:tblBorders>
        <w:top w:val="single" w:sz="4" w:space="0" w:color="95AFDD" w:themeColor="accent1" w:themeTint="90"/>
        <w:bottom w:val="single" w:sz="4" w:space="0" w:color="95AFDD" w:themeColor="accent1" w:themeTint="90"/>
        <w:insideH w:val="single" w:sz="4" w:space="0" w:color="95AFDD"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Ind w:w="0" w:type="dxa"/>
      <w:tblBorders>
        <w:top w:val="single" w:sz="4" w:space="0" w:color="A2C6E7" w:themeColor="accent5" w:themeTint="90"/>
        <w:bottom w:val="single" w:sz="4" w:space="0" w:color="A2C6E7" w:themeColor="accent5" w:themeTint="90"/>
        <w:insideH w:val="single" w:sz="4" w:space="0" w:color="A2C6E7"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Ind w:w="0" w:type="dxa"/>
      <w:tblBorders>
        <w:top w:val="single" w:sz="4" w:space="0" w:color="4472C4" w:themeColor="accent1"/>
        <w:left w:val="single" w:sz="4" w:space="0" w:color="4472C4" w:themeColor="accent1"/>
        <w:bottom w:val="single" w:sz="4" w:space="0" w:color="4472C4" w:themeColor="accent1"/>
        <w:right w:val="single" w:sz="4" w:space="0" w:color="4472C4"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Ind w:w="0" w:type="dxa"/>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Ind w:w="0" w:type="dxa"/>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Ind w:w="0" w:type="dxa"/>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1"/>
    <w:uiPriority w:val="99"/>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Ind w:w="0" w:type="dxa"/>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Ind w:w="0" w:type="dxa"/>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1"/>
    <w:uiPriority w:val="99"/>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Ind w:w="0" w:type="dxa"/>
      <w:tblBorders>
        <w:top w:val="single" w:sz="4" w:space="0" w:color="4472C4" w:themeColor="accent1"/>
        <w:bottom w:val="single" w:sz="4" w:space="0" w:color="4472C4" w:themeColor="accent1"/>
      </w:tblBorders>
      <w:tblCellMar>
        <w:top w:w="0" w:type="dxa"/>
        <w:left w:w="108" w:type="dxa"/>
        <w:bottom w:w="0" w:type="dxa"/>
        <w:right w:w="108" w:type="dxa"/>
      </w:tblCellMar>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Ind w:w="0" w:type="dxa"/>
      <w:tblBorders>
        <w:top w:val="single" w:sz="4" w:space="0" w:color="9BC2E5" w:themeColor="accent5" w:themeTint="9A"/>
        <w:bottom w:val="single" w:sz="4" w:space="0" w:color="9BC2E5" w:themeColor="accent5" w:themeTint="9A"/>
      </w:tblBorders>
      <w:tblCellMar>
        <w:top w:w="0" w:type="dxa"/>
        <w:left w:w="108" w:type="dxa"/>
        <w:bottom w:w="0" w:type="dxa"/>
        <w:right w:w="108" w:type="dxa"/>
      </w:tblCellMar>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1"/>
    <w:uiPriority w:val="99"/>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Ind w:w="0" w:type="dxa"/>
      <w:tblBorders>
        <w:right w:val="single" w:sz="4" w:space="0" w:color="4472C4" w:themeColor="accent1"/>
      </w:tblBorders>
      <w:tblCellMar>
        <w:top w:w="0" w:type="dxa"/>
        <w:left w:w="108" w:type="dxa"/>
        <w:bottom w:w="0" w:type="dxa"/>
        <w:right w:w="108" w:type="dxa"/>
      </w:tblCellMar>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Ind w:w="0" w:type="dxa"/>
      <w:tblBorders>
        <w:right w:val="single" w:sz="4" w:space="0" w:color="9BC2E5" w:themeColor="accent5" w:themeTint="9A"/>
      </w:tblBorders>
      <w:tblCellMar>
        <w:top w:w="0" w:type="dxa"/>
        <w:left w:w="108" w:type="dxa"/>
        <w:bottom w:w="0" w:type="dxa"/>
        <w:right w:w="108" w:type="dxa"/>
      </w:tblCellMar>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Ind w:w="0" w:type="dxa"/>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Ind w:w="0" w:type="dxa"/>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6">
    <w:name w:val="footnote text"/>
    <w:basedOn w:val="a"/>
    <w:link w:val="a7"/>
    <w:uiPriority w:val="99"/>
    <w:semiHidden/>
    <w:unhideWhenUsed/>
    <w:pPr>
      <w:spacing w:after="40" w:line="240" w:lineRule="auto"/>
    </w:pPr>
    <w:rPr>
      <w:sz w:val="18"/>
    </w:rPr>
  </w:style>
  <w:style w:type="character" w:customStyle="1" w:styleId="a7">
    <w:name w:val="Текст сноски Знак"/>
    <w:link w:val="a6"/>
    <w:uiPriority w:val="99"/>
    <w:rPr>
      <w:sz w:val="18"/>
    </w:rPr>
  </w:style>
  <w:style w:type="character" w:styleId="a8">
    <w:name w:val="footnote reference"/>
    <w:basedOn w:val="a0"/>
    <w:uiPriority w:val="99"/>
    <w:unhideWhenUsed/>
    <w:rPr>
      <w:vertAlign w:val="superscript"/>
    </w:rPr>
  </w:style>
  <w:style w:type="paragraph" w:styleId="a9">
    <w:name w:val="endnote text"/>
    <w:basedOn w:val="a"/>
    <w:link w:val="aa"/>
    <w:uiPriority w:val="99"/>
    <w:semiHidden/>
    <w:unhideWhenUsed/>
    <w:pPr>
      <w:spacing w:after="0" w:line="240" w:lineRule="auto"/>
    </w:pPr>
    <w:rPr>
      <w:sz w:val="20"/>
    </w:rPr>
  </w:style>
  <w:style w:type="character" w:customStyle="1" w:styleId="aa">
    <w:name w:val="Текст концевой сноски Знак"/>
    <w:link w:val="a9"/>
    <w:uiPriority w:val="99"/>
    <w:rPr>
      <w:sz w:val="20"/>
    </w:rPr>
  </w:style>
  <w:style w:type="character" w:styleId="ab">
    <w:name w:val="endnote reference"/>
    <w:basedOn w:val="a0"/>
    <w:uiPriority w:val="99"/>
    <w:semiHidden/>
    <w:unhideWhenUsed/>
    <w:rPr>
      <w:vertAlign w:val="superscript"/>
    </w:rPr>
  </w:style>
  <w:style w:type="paragraph" w:styleId="11">
    <w:name w:val="toc 1"/>
    <w:basedOn w:val="a"/>
    <w:next w:val="a"/>
    <w:uiPriority w:val="39"/>
    <w:unhideWhenUsed/>
    <w:pPr>
      <w:spacing w:after="57"/>
    </w:pPr>
  </w:style>
  <w:style w:type="paragraph" w:styleId="21">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c">
    <w:name w:val="TOC Heading"/>
    <w:uiPriority w:val="39"/>
    <w:unhideWhenUsed/>
  </w:style>
  <w:style w:type="paragraph" w:styleId="ad">
    <w:name w:val="table of figures"/>
    <w:basedOn w:val="a"/>
    <w:next w:val="a"/>
    <w:uiPriority w:val="99"/>
    <w:unhideWhenUsed/>
    <w:pPr>
      <w:spacing w:after="0"/>
    </w:pPr>
  </w:style>
  <w:style w:type="character" w:customStyle="1" w:styleId="10">
    <w:name w:val="Заголовок 1 Знак"/>
    <w:basedOn w:val="a0"/>
    <w:link w:val="1"/>
    <w:uiPriority w:val="9"/>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Pr>
      <w:rFonts w:asciiTheme="minorHAnsi" w:eastAsiaTheme="majorEastAsia" w:hAnsiTheme="minorHAnsi" w:cstheme="majorBidi"/>
      <w:color w:val="2F5496" w:themeColor="accent1" w:themeShade="BF"/>
    </w:rPr>
  </w:style>
  <w:style w:type="character" w:customStyle="1" w:styleId="40">
    <w:name w:val="Заголовок 4 Знак"/>
    <w:basedOn w:val="a0"/>
    <w:link w:val="4"/>
    <w:uiPriority w:val="9"/>
    <w:semiHidden/>
    <w:rPr>
      <w:rFonts w:asciiTheme="minorHAnsi" w:eastAsiaTheme="majorEastAsia" w:hAnsiTheme="minorHAnsi" w:cstheme="majorBidi"/>
      <w:i/>
      <w:iCs/>
      <w:color w:val="2F5496" w:themeColor="accent1" w:themeShade="BF"/>
    </w:rPr>
  </w:style>
  <w:style w:type="character" w:customStyle="1" w:styleId="50">
    <w:name w:val="Заголовок 5 Знак"/>
    <w:basedOn w:val="a0"/>
    <w:link w:val="5"/>
    <w:uiPriority w:val="9"/>
    <w:semiHidden/>
    <w:rPr>
      <w:rFonts w:asciiTheme="minorHAnsi" w:eastAsiaTheme="majorEastAsia" w:hAnsiTheme="minorHAnsi" w:cstheme="majorBidi"/>
      <w:color w:val="2F5496" w:themeColor="accent1" w:themeShade="BF"/>
    </w:rPr>
  </w:style>
  <w:style w:type="character" w:customStyle="1" w:styleId="60">
    <w:name w:val="Заголовок 6 Знак"/>
    <w:basedOn w:val="a0"/>
    <w:link w:val="6"/>
    <w:uiPriority w:val="9"/>
    <w:semiHidden/>
    <w:rPr>
      <w:rFonts w:asciiTheme="minorHAnsi" w:eastAsiaTheme="majorEastAsia" w:hAnsiTheme="minorHAnsi" w:cstheme="majorBidi"/>
      <w:i/>
      <w:iCs/>
      <w:color w:val="595959" w:themeColor="text1" w:themeTint="A6"/>
    </w:rPr>
  </w:style>
  <w:style w:type="character" w:customStyle="1" w:styleId="70">
    <w:name w:val="Заголовок 7 Знак"/>
    <w:basedOn w:val="a0"/>
    <w:link w:val="7"/>
    <w:uiPriority w:val="9"/>
    <w:semiHidden/>
    <w:rPr>
      <w:rFonts w:asciiTheme="minorHAnsi" w:eastAsiaTheme="majorEastAsia" w:hAnsiTheme="minorHAnsi" w:cstheme="majorBidi"/>
      <w:color w:val="595959" w:themeColor="text1" w:themeTint="A6"/>
    </w:rPr>
  </w:style>
  <w:style w:type="character" w:customStyle="1" w:styleId="80">
    <w:name w:val="Заголовок 8 Знак"/>
    <w:basedOn w:val="a0"/>
    <w:link w:val="8"/>
    <w:uiPriority w:val="9"/>
    <w:semiHidden/>
    <w:rPr>
      <w:rFonts w:asciiTheme="minorHAnsi" w:eastAsiaTheme="majorEastAsia" w:hAnsiTheme="minorHAnsi" w:cstheme="majorBidi"/>
      <w:i/>
      <w:iCs/>
      <w:color w:val="272727" w:themeColor="text1" w:themeTint="D8"/>
    </w:rPr>
  </w:style>
  <w:style w:type="character" w:customStyle="1" w:styleId="90">
    <w:name w:val="Заголовок 9 Знак"/>
    <w:basedOn w:val="a0"/>
    <w:link w:val="9"/>
    <w:uiPriority w:val="9"/>
    <w:semiHidden/>
    <w:rPr>
      <w:rFonts w:asciiTheme="minorHAnsi" w:eastAsiaTheme="majorEastAsia" w:hAnsiTheme="minorHAnsi" w:cstheme="majorBidi"/>
      <w:color w:val="272727" w:themeColor="text1" w:themeTint="D8"/>
    </w:rPr>
  </w:style>
  <w:style w:type="paragraph" w:styleId="ae">
    <w:name w:val="Title"/>
    <w:basedOn w:val="a"/>
    <w:next w:val="a"/>
    <w:link w:val="af"/>
    <w:uiPriority w:val="10"/>
    <w:qFormat/>
    <w:pPr>
      <w:spacing w:after="80" w:line="240" w:lineRule="auto"/>
      <w:contextualSpacing/>
    </w:pPr>
    <w:rPr>
      <w:rFonts w:asciiTheme="majorHAnsi" w:eastAsiaTheme="majorEastAsia" w:hAnsiTheme="majorHAnsi" w:cstheme="majorBidi"/>
      <w:spacing w:val="-10"/>
      <w:sz w:val="56"/>
      <w:szCs w:val="56"/>
    </w:rPr>
  </w:style>
  <w:style w:type="character" w:customStyle="1" w:styleId="af">
    <w:name w:val="Название Знак"/>
    <w:basedOn w:val="a0"/>
    <w:link w:val="ae"/>
    <w:uiPriority w:val="10"/>
    <w:rPr>
      <w:rFonts w:asciiTheme="majorHAnsi" w:eastAsiaTheme="majorEastAsia" w:hAnsiTheme="majorHAnsi" w:cstheme="majorBidi"/>
      <w:spacing w:val="-10"/>
      <w:sz w:val="56"/>
      <w:szCs w:val="56"/>
    </w:rPr>
  </w:style>
  <w:style w:type="paragraph" w:styleId="af0">
    <w:name w:val="Subtitle"/>
    <w:basedOn w:val="a"/>
    <w:next w:val="a"/>
    <w:link w:val="af1"/>
    <w:uiPriority w:val="11"/>
    <w:qFormat/>
    <w:pPr>
      <w:numPr>
        <w:ilvl w:val="1"/>
      </w:numPr>
    </w:pPr>
    <w:rPr>
      <w:rFonts w:asciiTheme="minorHAnsi" w:eastAsiaTheme="majorEastAsia" w:hAnsiTheme="minorHAnsi" w:cstheme="majorBidi"/>
      <w:color w:val="595959" w:themeColor="text1" w:themeTint="A6"/>
      <w:spacing w:val="15"/>
    </w:rPr>
  </w:style>
  <w:style w:type="character" w:customStyle="1" w:styleId="af1">
    <w:name w:val="Подзаголовок Знак"/>
    <w:basedOn w:val="a0"/>
    <w:link w:val="af0"/>
    <w:uiPriority w:val="11"/>
    <w:rPr>
      <w:rFonts w:asciiTheme="minorHAnsi" w:eastAsiaTheme="majorEastAsia" w:hAnsiTheme="minorHAnsi" w:cstheme="majorBidi"/>
      <w:color w:val="595959" w:themeColor="text1" w:themeTint="A6"/>
      <w:spacing w:val="15"/>
    </w:rPr>
  </w:style>
  <w:style w:type="paragraph" w:styleId="22">
    <w:name w:val="Quote"/>
    <w:basedOn w:val="a"/>
    <w:next w:val="a"/>
    <w:link w:val="23"/>
    <w:uiPriority w:val="29"/>
    <w:qFormat/>
    <w:pPr>
      <w:spacing w:before="160"/>
      <w:jc w:val="center"/>
    </w:pPr>
    <w:rPr>
      <w:i/>
      <w:iCs/>
      <w:color w:val="404040" w:themeColor="text1" w:themeTint="BF"/>
    </w:rPr>
  </w:style>
  <w:style w:type="character" w:customStyle="1" w:styleId="23">
    <w:name w:val="Цитата 2 Знак"/>
    <w:basedOn w:val="a0"/>
    <w:link w:val="22"/>
    <w:uiPriority w:val="29"/>
    <w:rPr>
      <w:i/>
      <w:iCs/>
      <w:color w:val="404040" w:themeColor="text1" w:themeTint="BF"/>
    </w:rPr>
  </w:style>
  <w:style w:type="paragraph" w:styleId="af2">
    <w:name w:val="List Paragraph"/>
    <w:basedOn w:val="a"/>
    <w:uiPriority w:val="34"/>
    <w:qFormat/>
    <w:pPr>
      <w:ind w:left="720"/>
      <w:contextualSpacing/>
    </w:pPr>
  </w:style>
  <w:style w:type="character" w:styleId="af3">
    <w:name w:val="Intense Emphasis"/>
    <w:basedOn w:val="a0"/>
    <w:uiPriority w:val="21"/>
    <w:qFormat/>
    <w:rPr>
      <w:i/>
      <w:iCs/>
      <w:color w:val="2F5496" w:themeColor="accent1" w:themeShade="BF"/>
    </w:rPr>
  </w:style>
  <w:style w:type="paragraph" w:styleId="af4">
    <w:name w:val="Intense Quote"/>
    <w:basedOn w:val="a"/>
    <w:next w:val="a"/>
    <w:link w:val="af5"/>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5">
    <w:name w:val="Выделенная цитата Знак"/>
    <w:basedOn w:val="a0"/>
    <w:link w:val="af4"/>
    <w:uiPriority w:val="30"/>
    <w:rPr>
      <w:i/>
      <w:iCs/>
      <w:color w:val="2F5496" w:themeColor="accent1" w:themeShade="BF"/>
    </w:rPr>
  </w:style>
  <w:style w:type="character" w:styleId="af6">
    <w:name w:val="Intense Reference"/>
    <w:basedOn w:val="a0"/>
    <w:uiPriority w:val="32"/>
    <w:qFormat/>
    <w:rPr>
      <w:b/>
      <w:bCs/>
      <w:smallCaps/>
      <w:color w:val="2F5496" w:themeColor="accent1" w:themeShade="BF"/>
      <w:spacing w:val="5"/>
    </w:rPr>
  </w:style>
  <w:style w:type="character" w:styleId="af7">
    <w:name w:val="Hyperlink"/>
    <w:basedOn w:val="a0"/>
    <w:uiPriority w:val="99"/>
    <w:unhideWhenUsed/>
    <w:rPr>
      <w:color w:val="0563C1" w:themeColor="hyperlink"/>
      <w:u w:val="single"/>
    </w:rPr>
  </w:style>
  <w:style w:type="character" w:customStyle="1" w:styleId="UnresolvedMention">
    <w:name w:val="Unresolved Mention"/>
    <w:basedOn w:val="a0"/>
    <w:uiPriority w:val="99"/>
    <w:semiHidden/>
    <w:unhideWhenUsed/>
    <w:rPr>
      <w:color w:val="605E5C"/>
      <w:shd w:val="clear" w:color="auto" w:fill="E1DFDD"/>
    </w:rPr>
  </w:style>
  <w:style w:type="character" w:styleId="af8">
    <w:name w:val="FollowedHyperlink"/>
    <w:basedOn w:val="a0"/>
    <w:uiPriority w:val="99"/>
    <w:semiHidden/>
    <w:unhideWhenUsed/>
    <w:rPr>
      <w:color w:val="954F72" w:themeColor="followedHyperlink"/>
      <w:u w:val="single"/>
    </w:rPr>
  </w:style>
  <w:style w:type="table" w:styleId="af9">
    <w:name w:val="Table Grid"/>
    <w:basedOn w:val="a1"/>
    <w:uiPriority w:val="3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a">
    <w:name w:val="header"/>
    <w:basedOn w:val="a"/>
    <w:link w:val="afb"/>
    <w:uiPriority w:val="99"/>
    <w:unhideWhenUsed/>
    <w:pPr>
      <w:tabs>
        <w:tab w:val="center" w:pos="4677"/>
        <w:tab w:val="right" w:pos="9355"/>
      </w:tabs>
      <w:spacing w:after="0" w:line="240" w:lineRule="auto"/>
    </w:pPr>
  </w:style>
  <w:style w:type="character" w:customStyle="1" w:styleId="afb">
    <w:name w:val="Верхний колонтитул Знак"/>
    <w:basedOn w:val="a0"/>
    <w:link w:val="afa"/>
    <w:uiPriority w:val="99"/>
  </w:style>
  <w:style w:type="paragraph" w:styleId="afc">
    <w:name w:val="footer"/>
    <w:basedOn w:val="a"/>
    <w:link w:val="afd"/>
    <w:uiPriority w:val="99"/>
    <w:unhideWhenUsed/>
    <w:pPr>
      <w:tabs>
        <w:tab w:val="center" w:pos="4677"/>
        <w:tab w:val="right" w:pos="9355"/>
      </w:tabs>
      <w:spacing w:after="0" w:line="240" w:lineRule="auto"/>
    </w:pPr>
  </w:style>
  <w:style w:type="character" w:customStyle="1" w:styleId="afd">
    <w:name w:val="Нижний колонтитул Знак"/>
    <w:basedOn w:val="a0"/>
    <w:link w:val="afc"/>
    <w:uiPriority w:val="99"/>
  </w:style>
  <w:style w:type="paragraph" w:customStyle="1" w:styleId="StGen0">
    <w:name w:val="StGen0"/>
    <w:basedOn w:val="a"/>
    <w:next w:val="afe"/>
    <w:uiPriority w:val="99"/>
    <w:unhideWhenUsed/>
    <w:pPr>
      <w:spacing w:before="100" w:beforeAutospacing="1" w:after="100" w:afterAutospacing="1" w:line="240" w:lineRule="auto"/>
    </w:pPr>
    <w:rPr>
      <w:rFonts w:eastAsia="Times New Roman"/>
      <w:sz w:val="24"/>
      <w:szCs w:val="24"/>
      <w:lang w:eastAsia="ru-RU"/>
    </w:rPr>
  </w:style>
  <w:style w:type="character" w:customStyle="1" w:styleId="rynqvb">
    <w:name w:val="rynqvb"/>
    <w:basedOn w:val="a0"/>
  </w:style>
  <w:style w:type="paragraph" w:styleId="afe">
    <w:name w:val="Normal (Web)"/>
    <w:basedOn w:val="a"/>
    <w:uiPriority w:val="99"/>
    <w:semiHidden/>
    <w:unhideWhenUse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library.ru/item.asp?id=50261844&amp;selid=50261921"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1659</Words>
  <Characters>9462</Characters>
  <Application>Microsoft Office Word</Application>
  <DocSecurity>0</DocSecurity>
  <Lines>78</Lines>
  <Paragraphs>22</Paragraphs>
  <ScaleCrop>false</ScaleCrop>
  <Company/>
  <LinksUpToDate>false</LinksUpToDate>
  <CharactersWithSpaces>11099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 Батурина</dc:creator>
  <cp:keywords/>
  <dc:description/>
  <cp:lastModifiedBy>s8yckova@yandex.ru</cp:lastModifiedBy>
  <cp:revision>9</cp:revision>
  <dcterms:created xsi:type="dcterms:W3CDTF">2025-12-02T16:17:00Z</dcterms:created>
  <dcterms:modified xsi:type="dcterms:W3CDTF">2025-12-04T09:21:00Z</dcterms:modified>
</cp:coreProperties>
</file>