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B2EEF" w:rsidRDefault="004B2157">
      <w:pPr>
        <w:spacing w:after="0" w:line="360" w:lineRule="auto"/>
        <w:ind w:firstLine="709"/>
        <w:jc w:val="right"/>
        <w:rPr>
          <w:rFonts w:ascii="Times New Roman" w:eastAsia="Times New Roman" w:hAnsi="Times New Roman" w:cs="Times New Roman"/>
          <w:b/>
          <w:sz w:val="28"/>
          <w:szCs w:val="28"/>
        </w:rPr>
      </w:pPr>
      <w:r>
        <w:rPr>
          <w:rFonts w:ascii="Times New Roman" w:eastAsia="Times New Roman" w:hAnsi="Times New Roman" w:cs="Times New Roman"/>
          <w:b/>
          <w:sz w:val="28"/>
          <w:szCs w:val="28"/>
        </w:rPr>
        <w:t>УДК 35.088.36</w:t>
      </w:r>
    </w:p>
    <w:p w:rsidR="00FB2EEF" w:rsidRPr="002D3E6C" w:rsidRDefault="002D3E6C">
      <w:pPr>
        <w:spacing w:after="0" w:line="360" w:lineRule="auto"/>
        <w:ind w:firstLine="709"/>
        <w:jc w:val="center"/>
        <w:rPr>
          <w:rFonts w:ascii="Times New Roman" w:eastAsia="Times New Roman" w:hAnsi="Times New Roman" w:cs="Times New Roman"/>
          <w:b/>
          <w:sz w:val="28"/>
          <w:szCs w:val="28"/>
        </w:rPr>
      </w:pPr>
      <w:r w:rsidRPr="002D3E6C">
        <w:rPr>
          <w:rFonts w:ascii="Times New Roman" w:eastAsia="Times New Roman" w:hAnsi="Times New Roman" w:cs="Times New Roman"/>
          <w:b/>
          <w:sz w:val="28"/>
          <w:szCs w:val="28"/>
        </w:rPr>
        <w:t>МОТИВАЦИЯ КАК ФАКТОР ПОВЫШЕНИЯ</w:t>
      </w:r>
      <w:r w:rsidR="004B2157" w:rsidRPr="002D3E6C">
        <w:rPr>
          <w:rFonts w:ascii="Times New Roman" w:eastAsia="Times New Roman" w:hAnsi="Times New Roman" w:cs="Times New Roman"/>
          <w:b/>
          <w:sz w:val="28"/>
          <w:szCs w:val="28"/>
        </w:rPr>
        <w:t xml:space="preserve"> ЭФФЕКТИВНОСТ</w:t>
      </w:r>
      <w:r w:rsidRPr="002D3E6C">
        <w:rPr>
          <w:rFonts w:ascii="Times New Roman" w:eastAsia="Times New Roman" w:hAnsi="Times New Roman" w:cs="Times New Roman"/>
          <w:b/>
          <w:sz w:val="28"/>
          <w:szCs w:val="28"/>
        </w:rPr>
        <w:t>И ГОСУДАРСТВЕННОЙ СЛУЖБЫ</w:t>
      </w:r>
      <w:r w:rsidR="004B2157" w:rsidRPr="002D3E6C">
        <w:rPr>
          <w:rFonts w:ascii="Times New Roman" w:eastAsia="Times New Roman" w:hAnsi="Times New Roman" w:cs="Times New Roman"/>
          <w:b/>
          <w:sz w:val="28"/>
          <w:szCs w:val="28"/>
        </w:rPr>
        <w:t>: ПРИМЕР РЕСПУБЛИКИ БУРЯТИЯ</w:t>
      </w:r>
    </w:p>
    <w:p w:rsidR="00FB2EEF" w:rsidRDefault="002D3E6C">
      <w:pPr>
        <w:spacing w:after="0" w:line="360" w:lineRule="auto"/>
        <w:ind w:firstLine="709"/>
        <w:jc w:val="center"/>
        <w:rPr>
          <w:rFonts w:ascii="Times New Roman" w:eastAsia="Times New Roman" w:hAnsi="Times New Roman" w:cs="Times New Roman"/>
          <w:b/>
          <w:sz w:val="28"/>
          <w:szCs w:val="28"/>
          <w:highlight w:val="yellow"/>
          <w:lang w:val="en-US"/>
        </w:rPr>
      </w:pPr>
      <w:r w:rsidRPr="002D3E6C">
        <w:rPr>
          <w:rFonts w:ascii="Times New Roman" w:eastAsia="Times New Roman" w:hAnsi="Times New Roman" w:cs="Times New Roman"/>
          <w:b/>
          <w:sz w:val="28"/>
          <w:szCs w:val="28"/>
          <w:lang w:val="en-US"/>
        </w:rPr>
        <w:t>MOTIVATION AS A FACTOR IN INCREASING THE EFFECTIVENESS OF PUBLIC SERVICE: THE CASE OF THE REPUBLIC OF BURYATIA</w:t>
      </w:r>
    </w:p>
    <w:p w:rsidR="00FB2EEF" w:rsidRDefault="004B2157">
      <w:pPr>
        <w:spacing w:after="0" w:line="360" w:lineRule="auto"/>
        <w:ind w:firstLine="709"/>
        <w:jc w:val="right"/>
        <w:rPr>
          <w:rFonts w:ascii="Times New Roman" w:eastAsia="Times New Roman" w:hAnsi="Times New Roman" w:cs="Times New Roman"/>
          <w:b/>
          <w:sz w:val="28"/>
          <w:szCs w:val="28"/>
        </w:rPr>
      </w:pPr>
      <w:r>
        <w:rPr>
          <w:rFonts w:ascii="Times New Roman" w:eastAsia="Times New Roman" w:hAnsi="Times New Roman" w:cs="Times New Roman"/>
          <w:b/>
          <w:sz w:val="28"/>
          <w:szCs w:val="28"/>
        </w:rPr>
        <w:t>МОНГУШ АМЫРТА ЯКОВЛЕВИЧ</w:t>
      </w:r>
    </w:p>
    <w:p w:rsidR="00FB2EEF" w:rsidRDefault="004B2157">
      <w:pPr>
        <w:spacing w:after="0" w:line="360" w:lineRule="auto"/>
        <w:ind w:firstLine="709"/>
        <w:jc w:val="right"/>
        <w:rPr>
          <w:rFonts w:ascii="Times New Roman" w:eastAsia="Times New Roman" w:hAnsi="Times New Roman" w:cs="Times New Roman"/>
          <w:sz w:val="28"/>
          <w:szCs w:val="28"/>
        </w:rPr>
      </w:pPr>
      <w:r>
        <w:rPr>
          <w:rFonts w:ascii="Times New Roman" w:eastAsia="Times New Roman" w:hAnsi="Times New Roman" w:cs="Times New Roman"/>
          <w:sz w:val="28"/>
          <w:szCs w:val="28"/>
        </w:rPr>
        <w:t>студент 1 курса магистратуры института педагогики и психологии</w:t>
      </w:r>
    </w:p>
    <w:p w:rsidR="00FB2EEF" w:rsidRDefault="004B2157">
      <w:pPr>
        <w:spacing w:after="0" w:line="360" w:lineRule="auto"/>
        <w:ind w:firstLine="709"/>
        <w:jc w:val="right"/>
        <w:rPr>
          <w:rFonts w:ascii="Times New Roman" w:eastAsia="Times New Roman" w:hAnsi="Times New Roman" w:cs="Times New Roman"/>
          <w:sz w:val="28"/>
          <w:szCs w:val="28"/>
        </w:rPr>
      </w:pPr>
      <w:r>
        <w:rPr>
          <w:rFonts w:ascii="Times New Roman" w:eastAsia="Times New Roman" w:hAnsi="Times New Roman" w:cs="Times New Roman"/>
          <w:sz w:val="28"/>
          <w:szCs w:val="28"/>
        </w:rPr>
        <w:t>Бурятский государственный университет имени Доржи Банзарова</w:t>
      </w:r>
    </w:p>
    <w:p w:rsidR="00FB2EEF" w:rsidRDefault="004B2157">
      <w:pPr>
        <w:spacing w:after="0" w:line="360" w:lineRule="auto"/>
        <w:ind w:firstLine="709"/>
        <w:jc w:val="right"/>
        <w:rPr>
          <w:rFonts w:ascii="Times New Roman" w:eastAsia="Times New Roman" w:hAnsi="Times New Roman" w:cs="Times New Roman"/>
          <w:b/>
          <w:sz w:val="28"/>
          <w:szCs w:val="28"/>
          <w:lang w:val="en-US"/>
        </w:rPr>
      </w:pPr>
      <w:r>
        <w:rPr>
          <w:rFonts w:ascii="Times New Roman" w:eastAsia="Times New Roman" w:hAnsi="Times New Roman" w:cs="Times New Roman"/>
          <w:b/>
          <w:sz w:val="28"/>
          <w:szCs w:val="28"/>
          <w:lang w:val="en-US"/>
        </w:rPr>
        <w:t>MONGUSH AMYRTA YAKOVLEVICH</w:t>
      </w:r>
    </w:p>
    <w:p w:rsidR="00FB2EEF" w:rsidRDefault="004B2157">
      <w:pPr>
        <w:spacing w:after="0" w:line="360" w:lineRule="auto"/>
        <w:ind w:firstLine="709"/>
        <w:jc w:val="right"/>
        <w:rPr>
          <w:rFonts w:ascii="Times New Roman" w:eastAsia="Times New Roman" w:hAnsi="Times New Roman" w:cs="Times New Roman"/>
          <w:sz w:val="28"/>
          <w:szCs w:val="28"/>
          <w:lang w:val="en-US"/>
        </w:rPr>
      </w:pPr>
      <w:r>
        <w:rPr>
          <w:rFonts w:ascii="Times New Roman" w:eastAsia="Times New Roman" w:hAnsi="Times New Roman" w:cs="Times New Roman"/>
          <w:sz w:val="28"/>
          <w:szCs w:val="28"/>
          <w:lang w:val="en-US"/>
        </w:rPr>
        <w:t>1st year master's student at the Institute of Pedagogy and Psychology</w:t>
      </w:r>
    </w:p>
    <w:p w:rsidR="00FB2EEF" w:rsidRDefault="004B2157">
      <w:pPr>
        <w:spacing w:after="0" w:line="360" w:lineRule="auto"/>
        <w:ind w:firstLine="709"/>
        <w:jc w:val="right"/>
        <w:rPr>
          <w:rFonts w:ascii="Times New Roman" w:eastAsia="Times New Roman" w:hAnsi="Times New Roman" w:cs="Times New Roman"/>
          <w:sz w:val="28"/>
          <w:szCs w:val="28"/>
        </w:rPr>
      </w:pPr>
      <w:r>
        <w:rPr>
          <w:rFonts w:ascii="Times New Roman" w:eastAsia="Times New Roman" w:hAnsi="Times New Roman" w:cs="Times New Roman"/>
          <w:sz w:val="28"/>
          <w:szCs w:val="28"/>
          <w:lang w:val="en-US"/>
        </w:rPr>
        <w:t>Dorji</w:t>
      </w:r>
      <w:r w:rsidR="008C6F08">
        <w:rPr>
          <w:rFonts w:ascii="Times New Roman" w:eastAsia="Times New Roman" w:hAnsi="Times New Roman" w:cs="Times New Roman"/>
          <w:sz w:val="28"/>
          <w:szCs w:val="28"/>
        </w:rPr>
        <w:t xml:space="preserve"> </w:t>
      </w:r>
      <w:r>
        <w:rPr>
          <w:rFonts w:ascii="Times New Roman" w:eastAsia="Times New Roman" w:hAnsi="Times New Roman" w:cs="Times New Roman"/>
          <w:sz w:val="28"/>
          <w:szCs w:val="28"/>
          <w:lang w:val="en-US"/>
        </w:rPr>
        <w:t>Banzarov</w:t>
      </w:r>
      <w:r w:rsidR="008C6F08">
        <w:rPr>
          <w:rFonts w:ascii="Times New Roman" w:eastAsia="Times New Roman" w:hAnsi="Times New Roman" w:cs="Times New Roman"/>
          <w:sz w:val="28"/>
          <w:szCs w:val="28"/>
        </w:rPr>
        <w:t xml:space="preserve"> </w:t>
      </w:r>
      <w:r>
        <w:rPr>
          <w:rFonts w:ascii="Times New Roman" w:eastAsia="Times New Roman" w:hAnsi="Times New Roman" w:cs="Times New Roman"/>
          <w:sz w:val="28"/>
          <w:szCs w:val="28"/>
          <w:lang w:val="en-US"/>
        </w:rPr>
        <w:t>Buryat</w:t>
      </w:r>
      <w:r w:rsidR="008C6F08">
        <w:rPr>
          <w:rFonts w:ascii="Times New Roman" w:eastAsia="Times New Roman" w:hAnsi="Times New Roman" w:cs="Times New Roman"/>
          <w:sz w:val="28"/>
          <w:szCs w:val="28"/>
        </w:rPr>
        <w:t xml:space="preserve"> </w:t>
      </w:r>
      <w:r>
        <w:rPr>
          <w:rFonts w:ascii="Times New Roman" w:eastAsia="Times New Roman" w:hAnsi="Times New Roman" w:cs="Times New Roman"/>
          <w:sz w:val="28"/>
          <w:szCs w:val="28"/>
          <w:lang w:val="en-US"/>
        </w:rPr>
        <w:t>State</w:t>
      </w:r>
      <w:r w:rsidR="008C6F08">
        <w:rPr>
          <w:rFonts w:ascii="Times New Roman" w:eastAsia="Times New Roman" w:hAnsi="Times New Roman" w:cs="Times New Roman"/>
          <w:sz w:val="28"/>
          <w:szCs w:val="28"/>
        </w:rPr>
        <w:t xml:space="preserve"> </w:t>
      </w:r>
      <w:r>
        <w:rPr>
          <w:rFonts w:ascii="Times New Roman" w:eastAsia="Times New Roman" w:hAnsi="Times New Roman" w:cs="Times New Roman"/>
          <w:sz w:val="28"/>
          <w:szCs w:val="28"/>
          <w:lang w:val="en-US"/>
        </w:rPr>
        <w:t>University</w:t>
      </w:r>
    </w:p>
    <w:p w:rsidR="00EE1A84" w:rsidRPr="00EE1A84" w:rsidRDefault="00EE1A84">
      <w:pPr>
        <w:spacing w:after="0" w:line="360" w:lineRule="auto"/>
        <w:ind w:firstLine="709"/>
        <w:jc w:val="right"/>
        <w:rPr>
          <w:rFonts w:ascii="Times New Roman" w:eastAsia="Times New Roman" w:hAnsi="Times New Roman" w:cs="Times New Roman"/>
          <w:b/>
          <w:sz w:val="28"/>
          <w:szCs w:val="28"/>
        </w:rPr>
      </w:pPr>
      <w:r w:rsidRPr="00EE1A84">
        <w:rPr>
          <w:rFonts w:ascii="Times New Roman" w:eastAsia="Times New Roman" w:hAnsi="Times New Roman" w:cs="Times New Roman"/>
          <w:b/>
          <w:sz w:val="28"/>
          <w:szCs w:val="28"/>
        </w:rPr>
        <w:t>ДУГАРОВА АЛЬБИНА АЮШЕЕВНА</w:t>
      </w:r>
    </w:p>
    <w:p w:rsidR="00EE1A84" w:rsidRDefault="00EE1A84">
      <w:pPr>
        <w:spacing w:after="0" w:line="360" w:lineRule="auto"/>
        <w:ind w:firstLine="709"/>
        <w:jc w:val="right"/>
        <w:rPr>
          <w:rFonts w:ascii="Times New Roman" w:eastAsia="Times New Roman" w:hAnsi="Times New Roman" w:cs="Times New Roman"/>
          <w:sz w:val="28"/>
          <w:szCs w:val="28"/>
        </w:rPr>
      </w:pPr>
      <w:r>
        <w:rPr>
          <w:rFonts w:ascii="Times New Roman" w:eastAsia="Times New Roman" w:hAnsi="Times New Roman" w:cs="Times New Roman"/>
          <w:sz w:val="28"/>
          <w:szCs w:val="28"/>
        </w:rPr>
        <w:t>Канд. полит. наук, доцент</w:t>
      </w:r>
    </w:p>
    <w:p w:rsidR="00EE1A84" w:rsidRDefault="00EE1A84">
      <w:pPr>
        <w:spacing w:after="0" w:line="360" w:lineRule="auto"/>
        <w:ind w:firstLine="709"/>
        <w:jc w:val="right"/>
        <w:rPr>
          <w:rFonts w:ascii="Times New Roman" w:eastAsia="Times New Roman" w:hAnsi="Times New Roman" w:cs="Times New Roman"/>
          <w:sz w:val="28"/>
          <w:szCs w:val="28"/>
        </w:rPr>
      </w:pPr>
      <w:r>
        <w:rPr>
          <w:rFonts w:ascii="Times New Roman" w:eastAsia="Times New Roman" w:hAnsi="Times New Roman" w:cs="Times New Roman"/>
          <w:sz w:val="28"/>
          <w:szCs w:val="28"/>
        </w:rPr>
        <w:t>Научный руководитель</w:t>
      </w:r>
    </w:p>
    <w:p w:rsidR="00EE1A84" w:rsidRDefault="00EE1A84">
      <w:pPr>
        <w:spacing w:after="0" w:line="360" w:lineRule="auto"/>
        <w:ind w:firstLine="709"/>
        <w:jc w:val="right"/>
        <w:rPr>
          <w:rFonts w:ascii="Times New Roman" w:eastAsia="Times New Roman" w:hAnsi="Times New Roman" w:cs="Times New Roman"/>
          <w:sz w:val="28"/>
          <w:szCs w:val="28"/>
        </w:rPr>
      </w:pPr>
      <w:r w:rsidRPr="00EE1A84">
        <w:rPr>
          <w:rFonts w:ascii="Times New Roman" w:eastAsia="Times New Roman" w:hAnsi="Times New Roman" w:cs="Times New Roman"/>
          <w:sz w:val="28"/>
          <w:szCs w:val="28"/>
        </w:rPr>
        <w:t>Бурятский государственный университет имени Доржи Банзарова</w:t>
      </w:r>
    </w:p>
    <w:p w:rsidR="00EE1A84" w:rsidRPr="00EE1A84" w:rsidRDefault="00EE1A84" w:rsidP="00EE1A84">
      <w:pPr>
        <w:spacing w:after="0" w:line="360" w:lineRule="auto"/>
        <w:ind w:firstLine="709"/>
        <w:jc w:val="right"/>
        <w:rPr>
          <w:rFonts w:ascii="Times New Roman" w:eastAsia="Times New Roman" w:hAnsi="Times New Roman" w:cs="Times New Roman"/>
          <w:b/>
          <w:sz w:val="28"/>
          <w:szCs w:val="28"/>
          <w:lang w:val="en-US"/>
        </w:rPr>
      </w:pPr>
      <w:r w:rsidRPr="00EE1A84">
        <w:rPr>
          <w:rFonts w:ascii="Times New Roman" w:eastAsia="Times New Roman" w:hAnsi="Times New Roman" w:cs="Times New Roman"/>
          <w:b/>
          <w:sz w:val="28"/>
          <w:szCs w:val="28"/>
          <w:lang w:val="en-US"/>
        </w:rPr>
        <w:t>DUGAROVA ALBINA AYUSHEEVNA</w:t>
      </w:r>
    </w:p>
    <w:p w:rsidR="00EE1A84" w:rsidRPr="00EE1A84" w:rsidRDefault="00EE1A84" w:rsidP="00EE1A84">
      <w:pPr>
        <w:spacing w:after="0" w:line="360" w:lineRule="auto"/>
        <w:ind w:firstLine="709"/>
        <w:jc w:val="right"/>
        <w:rPr>
          <w:rFonts w:ascii="Times New Roman" w:eastAsia="Times New Roman" w:hAnsi="Times New Roman" w:cs="Times New Roman"/>
          <w:sz w:val="28"/>
          <w:szCs w:val="28"/>
        </w:rPr>
      </w:pPr>
      <w:r w:rsidRPr="00EE1A84">
        <w:rPr>
          <w:rFonts w:ascii="Times New Roman" w:eastAsia="Times New Roman" w:hAnsi="Times New Roman" w:cs="Times New Roman"/>
          <w:sz w:val="28"/>
          <w:szCs w:val="28"/>
          <w:lang w:val="en-US"/>
        </w:rPr>
        <w:t xml:space="preserve">Candidate of Political Sciences. </w:t>
      </w:r>
      <w:r w:rsidRPr="00EE1A84">
        <w:rPr>
          <w:rFonts w:ascii="Times New Roman" w:eastAsia="Times New Roman" w:hAnsi="Times New Roman" w:cs="Times New Roman"/>
          <w:sz w:val="28"/>
          <w:szCs w:val="28"/>
        </w:rPr>
        <w:t>Sciences, Associate Professor</w:t>
      </w:r>
    </w:p>
    <w:p w:rsidR="00EE1A84" w:rsidRPr="00EE1A84" w:rsidRDefault="00EE1A84" w:rsidP="00EE1A84">
      <w:pPr>
        <w:spacing w:after="0" w:line="360" w:lineRule="auto"/>
        <w:ind w:firstLine="709"/>
        <w:jc w:val="right"/>
        <w:rPr>
          <w:rFonts w:ascii="Times New Roman" w:eastAsia="Times New Roman" w:hAnsi="Times New Roman" w:cs="Times New Roman"/>
          <w:sz w:val="28"/>
          <w:szCs w:val="28"/>
        </w:rPr>
      </w:pPr>
      <w:r w:rsidRPr="00EE1A84">
        <w:rPr>
          <w:rFonts w:ascii="Times New Roman" w:eastAsia="Times New Roman" w:hAnsi="Times New Roman" w:cs="Times New Roman"/>
          <w:sz w:val="28"/>
          <w:szCs w:val="28"/>
        </w:rPr>
        <w:t>Scientific supervisor</w:t>
      </w:r>
    </w:p>
    <w:p w:rsidR="00EE1A84" w:rsidRPr="00EE1A84" w:rsidRDefault="00EE1A84" w:rsidP="00EE1A84">
      <w:pPr>
        <w:spacing w:after="0" w:line="360" w:lineRule="auto"/>
        <w:ind w:firstLine="709"/>
        <w:jc w:val="right"/>
        <w:rPr>
          <w:rFonts w:ascii="Times New Roman" w:eastAsia="Times New Roman" w:hAnsi="Times New Roman" w:cs="Times New Roman"/>
          <w:sz w:val="28"/>
          <w:szCs w:val="28"/>
          <w:lang w:val="en-US"/>
        </w:rPr>
      </w:pPr>
      <w:r w:rsidRPr="00EE1A84">
        <w:rPr>
          <w:rFonts w:ascii="Times New Roman" w:eastAsia="Times New Roman" w:hAnsi="Times New Roman" w:cs="Times New Roman"/>
          <w:sz w:val="28"/>
          <w:szCs w:val="28"/>
          <w:lang w:val="en-US"/>
        </w:rPr>
        <w:t>Buryat State University named after Dorzhi Banzarov</w:t>
      </w:r>
    </w:p>
    <w:p w:rsidR="00FB2EEF" w:rsidRDefault="004B2157">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В статье рассматриваются особенности мотивационной сферы государственных гражданских служащих Республики Бурятия в аспекте повышения эффективности регионального управления. На основе анализа кадровой структуры, возрастной и гендерной динамики</w:t>
      </w:r>
      <w:bookmarkStart w:id="0" w:name="_GoBack"/>
      <w:bookmarkEnd w:id="0"/>
      <w:r w:rsidR="008C6F08">
        <w:rPr>
          <w:rFonts w:ascii="Times New Roman" w:hAnsi="Times New Roman" w:cs="Times New Roman"/>
          <w:sz w:val="28"/>
          <w:szCs w:val="28"/>
        </w:rPr>
        <w:t xml:space="preserve"> </w:t>
      </w:r>
      <w:r>
        <w:rPr>
          <w:rFonts w:ascii="Times New Roman" w:hAnsi="Times New Roman" w:cs="Times New Roman"/>
          <w:sz w:val="28"/>
          <w:szCs w:val="28"/>
        </w:rPr>
        <w:t xml:space="preserve">выявлены ключевые барьеры мотивации: низкая привлекательность государственной службы для молодёжи, ограниченная карьерная мобильность и преобладание материальных стимулов при недостатке нематериальных форм признания. Опираясь на концепцию Е. А. Митрофановой, предлагаются рекомендации по формированию сбалансированной системы стимулирования, сочетающей </w:t>
      </w:r>
      <w:r>
        <w:rPr>
          <w:rFonts w:ascii="Times New Roman" w:hAnsi="Times New Roman" w:cs="Times New Roman"/>
          <w:sz w:val="28"/>
          <w:szCs w:val="28"/>
        </w:rPr>
        <w:lastRenderedPageBreak/>
        <w:t>карьерные возможности, наставничество и учёт этнокультурного контекста для укрепления внутренней мотивации, удержания кадров.</w:t>
      </w:r>
    </w:p>
    <w:p w:rsidR="00FB2EEF" w:rsidRDefault="004B2157">
      <w:pPr>
        <w:spacing w:after="0" w:line="360" w:lineRule="auto"/>
        <w:ind w:firstLine="709"/>
        <w:jc w:val="both"/>
        <w:rPr>
          <w:rFonts w:ascii="Times New Roman" w:hAnsi="Times New Roman" w:cs="Times New Roman"/>
          <w:sz w:val="28"/>
          <w:szCs w:val="28"/>
          <w:lang w:val="en-US"/>
        </w:rPr>
      </w:pPr>
      <w:r>
        <w:rPr>
          <w:rFonts w:ascii="Times New Roman" w:hAnsi="Times New Roman" w:cs="Times New Roman"/>
          <w:sz w:val="28"/>
          <w:szCs w:val="28"/>
          <w:lang w:val="en-US"/>
        </w:rPr>
        <w:t>The article explores the features of the motivational sphere of state civil servants in the Republic of Buryatia in terms of improving the efficiency of regional governance. Based on an analysis of the staff structure, age and gender dynamics, as well as the level of wages, the article identifies key barriers to motivation: the low attractiveness of public service for young people, limited career mobility, and the prevalence of material incentives in the absence of non-material forms of recognition. Drawing on the concept of E. A. Mitrofanova, the article proposes recommendations for creating a balanced incentive system that combines career opportunities, mentorship, and consideration of the ethno-cultural context to strengthen internal motivation and retain staff.</w:t>
      </w:r>
    </w:p>
    <w:p w:rsidR="00FB2EEF" w:rsidRDefault="004B2157">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Ключевые слова: Мотивация работников, стимулирование, </w:t>
      </w:r>
      <w:r>
        <w:rPr>
          <w:rFonts w:ascii="Times New Roman" w:eastAsia="Times New Roman" w:hAnsi="Times New Roman" w:cs="Times New Roman"/>
          <w:sz w:val="28"/>
          <w:szCs w:val="28"/>
        </w:rPr>
        <w:t>мотивационные установок,</w:t>
      </w:r>
      <w:r>
        <w:rPr>
          <w:rFonts w:ascii="Times New Roman" w:hAnsi="Times New Roman" w:cs="Times New Roman"/>
          <w:sz w:val="28"/>
          <w:szCs w:val="28"/>
        </w:rPr>
        <w:t xml:space="preserve"> государственные служащие, кадровая политика.</w:t>
      </w:r>
    </w:p>
    <w:p w:rsidR="00FB2EEF" w:rsidRDefault="004B2157">
      <w:pPr>
        <w:spacing w:after="0" w:line="360" w:lineRule="auto"/>
        <w:ind w:firstLine="709"/>
        <w:jc w:val="both"/>
        <w:rPr>
          <w:rFonts w:ascii="Times New Roman" w:hAnsi="Times New Roman" w:cs="Times New Roman"/>
          <w:sz w:val="28"/>
          <w:szCs w:val="28"/>
          <w:lang w:val="en-US"/>
        </w:rPr>
      </w:pPr>
      <w:r>
        <w:rPr>
          <w:rFonts w:ascii="Times New Roman" w:hAnsi="Times New Roman" w:cs="Times New Roman"/>
          <w:sz w:val="28"/>
          <w:szCs w:val="28"/>
          <w:lang w:val="en-US"/>
        </w:rPr>
        <w:t>Keywords: Employee motivation, incentives, motivational attitudes, civil servants, personnel policy.</w:t>
      </w:r>
      <w:r>
        <w:rPr>
          <w:rFonts w:ascii="Times New Roman" w:hAnsi="Times New Roman" w:cs="Times New Roman"/>
          <w:sz w:val="28"/>
          <w:szCs w:val="28"/>
          <w:lang w:val="en-US"/>
        </w:rPr>
        <w:br w:type="page"/>
      </w:r>
    </w:p>
    <w:p w:rsidR="00FB2EEF" w:rsidRDefault="004B2157">
      <w:pPr>
        <w:spacing w:after="0" w:line="36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b/>
          <w:sz w:val="28"/>
          <w:szCs w:val="28"/>
        </w:rPr>
        <w:lastRenderedPageBreak/>
        <w:t>Введение.</w:t>
      </w:r>
      <w:r>
        <w:rPr>
          <w:rFonts w:ascii="Times New Roman" w:eastAsia="Times New Roman" w:hAnsi="Times New Roman" w:cs="Times New Roman"/>
          <w:sz w:val="28"/>
          <w:szCs w:val="28"/>
        </w:rPr>
        <w:t xml:space="preserve"> Современный этап развития публичной власти в Российской Федерации характеризуется стремлением к повышению качества государственного управления, усилению его ориентации на потребности граждан и эффективной реализации стратегических задач на региональном уровне. В этом контексте особую роль играет человеческий фактор — готовность, вовлеченность и внутренняя мотивация сотрудников государственных органов.</w:t>
      </w:r>
    </w:p>
    <w:p w:rsidR="00FB2EEF" w:rsidRDefault="004B2157">
      <w:pPr>
        <w:spacing w:after="0" w:line="36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Республика Бурятия, обладающая сложной социально-экономической структурой, значительной территорией и многонациональным составом населения, сталкивается с необходимостью решения широкого спектра задач: от модернизации инфраструктуры и поддержки малого бизнеса до обеспечения доступности социальных услуг в отдалённых районах. Успешное решение этих задач напрямую зависит от мотивации и заинтересованности</w:t>
      </w:r>
      <w:r w:rsidR="008C6F08">
        <w:rPr>
          <w:rFonts w:ascii="Times New Roman" w:eastAsia="Times New Roman" w:hAnsi="Times New Roman" w:cs="Times New Roman"/>
          <w:sz w:val="28"/>
          <w:szCs w:val="28"/>
        </w:rPr>
        <w:t xml:space="preserve"> </w:t>
      </w:r>
      <w:r>
        <w:rPr>
          <w:rFonts w:ascii="Times New Roman" w:eastAsia="Times New Roman" w:hAnsi="Times New Roman" w:cs="Times New Roman"/>
          <w:sz w:val="28"/>
          <w:szCs w:val="28"/>
        </w:rPr>
        <w:t>государственных служащих.</w:t>
      </w:r>
    </w:p>
    <w:p w:rsidR="00FB2EEF" w:rsidRDefault="004B2157">
      <w:pPr>
        <w:spacing w:after="0" w:line="36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Однако на практике наблюдается ряд ограничений, снижающих мотивационный потенциал государственной службы в регионе. Среди них — стандартизированная система оплаты труда, слабо коррелирующая с индивидуальными результатами, недостаточная прозрачность карьерных траекторий, а также дефицит механизмов нематериального поощрения и признания профессиональных достижений. В условиях, когда внешние стимулы ограничены, особенно важным становится развитие внутренней мотивации, основанной на чувстве долга, общественной значимости работы и личной вовлеченности в процессы управления.</w:t>
      </w:r>
    </w:p>
    <w:p w:rsidR="00FB2EEF" w:rsidRDefault="004B2157">
      <w:pPr>
        <w:spacing w:after="0" w:line="36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В последние годы в Республике Бурятия активно внедряются меры по модернизации кадровой политики в сфере государственной службы: расширяется практика конкурсного отбора, внедряются цифровые инструменты оценки эффективности, развиваются программы наставничества и повышения квалификации. Тем не менее системный подход к управлению мотивацией персонала всё ещё находится на стадии формирования.</w:t>
      </w:r>
    </w:p>
    <w:p w:rsidR="00FB2EEF" w:rsidRDefault="004B2157">
      <w:pPr>
        <w:spacing w:after="0" w:line="36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b/>
          <w:sz w:val="28"/>
          <w:szCs w:val="28"/>
        </w:rPr>
        <w:lastRenderedPageBreak/>
        <w:t>Ценность исследования.</w:t>
      </w:r>
      <w:r>
        <w:rPr>
          <w:rFonts w:ascii="Times New Roman" w:eastAsia="Times New Roman" w:hAnsi="Times New Roman" w:cs="Times New Roman"/>
          <w:sz w:val="28"/>
          <w:szCs w:val="28"/>
        </w:rPr>
        <w:t xml:space="preserve"> Исследование мотивационных установок и барьеров, характерных именно для Республики Бурятия, с учётом её культурных особенностей, демографической ситуации и уровня социально-экономического развития представляет научную и практическую ценность. Полученные выводы могут стать основой разработки целенаправленных управленческих решений, способных повысить не только эффективность работы государственного аппарата, но и привлекательность государственной службы как профессионального пути для молодых специалистов в регионе.</w:t>
      </w:r>
    </w:p>
    <w:p w:rsidR="00FB2EEF" w:rsidRDefault="004B2157">
      <w:pPr>
        <w:spacing w:after="0" w:line="36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b/>
          <w:sz w:val="28"/>
          <w:szCs w:val="28"/>
        </w:rPr>
        <w:t>Цель.</w:t>
      </w:r>
      <w:r>
        <w:rPr>
          <w:rFonts w:ascii="Times New Roman" w:eastAsia="Times New Roman" w:hAnsi="Times New Roman" w:cs="Times New Roman"/>
          <w:sz w:val="28"/>
          <w:szCs w:val="28"/>
        </w:rPr>
        <w:t xml:space="preserve"> Целью данной статьи является исследование особенностей мотивационной сферы государственных служащих в Республике Бурятия, выявление системных барьеров, анализ применяемых и потенциально эффективных инструментов управления мотивацией, а также формулирование рекомендаций по созданию устойчивой и стимулирующей кадровой среды в региональном государственном аппарате.</w:t>
      </w:r>
    </w:p>
    <w:p w:rsidR="00FB2EEF" w:rsidRDefault="004B2157">
      <w:pPr>
        <w:spacing w:after="0" w:line="36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b/>
          <w:sz w:val="28"/>
          <w:szCs w:val="28"/>
        </w:rPr>
        <w:t>Степень изученности.</w:t>
      </w:r>
      <w:r>
        <w:rPr>
          <w:rFonts w:ascii="Times New Roman" w:eastAsia="Times New Roman" w:hAnsi="Times New Roman" w:cs="Times New Roman"/>
          <w:sz w:val="28"/>
          <w:szCs w:val="28"/>
        </w:rPr>
        <w:t xml:space="preserve"> Степень изученности темы мотивации и стимулирования труда в научной литературе находится на высоком уровне, что обусловлено её актуальностью как в мировой практике управления персоналом, так и в контексте развития государственной службы в России. Научное сообщество предлагает множество трактовок понятий «мотивация труда» и «стимулирование труда», рассматривая их с психологической, управленческой, экономической и социологической точек зрения.</w:t>
      </w:r>
    </w:p>
    <w:p w:rsidR="00FB2EEF" w:rsidRDefault="004B2157">
      <w:pPr>
        <w:spacing w:after="0" w:line="36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Особое внимание в данной работе уделяется концепции Е. А. Митрофановой, представленной в работе «Система стимулирования как инструмент управления мотивацией труда персонала». Автор предлагает двухуровневое определение мотивации:</w:t>
      </w:r>
    </w:p>
    <w:p w:rsidR="00FB2EEF" w:rsidRDefault="004B2157">
      <w:pPr>
        <w:spacing w:after="0" w:line="36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На субъективно-личностном уровне мотивация является важнейшей характеристикой психологического состояния человека, отражающей особенности его мотивационной структуры и определяющей процесс формирования, актуализации и реализации мотивов под воздействием внешних и внутренних факторов. На организационно-управленческом уровне мотивация </w:t>
      </w:r>
      <w:r>
        <w:rPr>
          <w:rFonts w:ascii="Times New Roman" w:eastAsia="Times New Roman" w:hAnsi="Times New Roman" w:cs="Times New Roman"/>
          <w:sz w:val="28"/>
          <w:szCs w:val="28"/>
        </w:rPr>
        <w:lastRenderedPageBreak/>
        <w:t xml:space="preserve">выступает как объект управления, т.е. целенаправленное воздействие со стороны субъекта управления посредством использования стимулов с целью формирования мотивов, определяющих трудовое поведение работника [3]. </w:t>
      </w:r>
    </w:p>
    <w:p w:rsidR="00FB2EEF" w:rsidRDefault="004B2157">
      <w:pPr>
        <w:spacing w:after="0" w:line="36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Это определение позволяет рассматривать мотивацию одновременно как внутреннее состояние работника и как управляемый процесс, что особенно важно при анализе государственной службы, где формальные ограничения часто сужают возможности для внешних стимулов.</w:t>
      </w:r>
    </w:p>
    <w:p w:rsidR="00FB2EEF" w:rsidRDefault="004B2157">
      <w:pPr>
        <w:spacing w:after="0" w:line="36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Кроме того, Е.А. Митрофанова подчёркивает необходимость дифференциации стимулирования на материальное (денежное и неденежное) и нематериальное (организационное и морально-психологическое). Такой подход позволяет учитывать разнообразие потребностей сотрудников и избегать упрощённого понимания мотивации исключительно через призму заработной платы. В условиях ограниченных бюджетных возможностей, характерных для многих регионов России, включая Республику Бурятия, развитие нематериальных форм признания и вовлеченности приобретает особое значение.</w:t>
      </w:r>
    </w:p>
    <w:p w:rsidR="00FB2EEF" w:rsidRDefault="004B2157">
      <w:pPr>
        <w:spacing w:after="0" w:line="36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На основе данных Комитета по государственной службе и кадровой политике Администрации Главы Республики Бурятия и Правительства Республики Бурятия можно проследить специфику кадрового состава исполнительных органов власти региона. По состоянию на 1 января 2025 года в 27 органах государственной власти Республики Бурятия (включая 14 министерств, 4 агентства, 3 службы, 4 управления, а также Полномочное представительство при Президенте РФ и Администрацию Главы и Правительства) работают 1330 государственных гражданских служащих. Анализ проведен по открытым данным государственных служащих на сайте Комитета по государственной службе и кадровой политике Администрации Главы Республики Бурятия и Правительства Республики Бурятия</w:t>
      </w:r>
      <w:r w:rsidR="00370BCB">
        <w:rPr>
          <w:rFonts w:ascii="Times New Roman" w:eastAsia="Times New Roman" w:hAnsi="Times New Roman" w:cs="Times New Roman"/>
          <w:sz w:val="28"/>
          <w:szCs w:val="28"/>
        </w:rPr>
        <w:t xml:space="preserve"> (Табл. 1)</w:t>
      </w:r>
      <w:r>
        <w:rPr>
          <w:rFonts w:ascii="Times New Roman" w:eastAsia="Times New Roman" w:hAnsi="Times New Roman" w:cs="Times New Roman"/>
          <w:sz w:val="28"/>
          <w:szCs w:val="28"/>
        </w:rPr>
        <w:t>.</w:t>
      </w:r>
    </w:p>
    <w:p w:rsidR="00721142" w:rsidRDefault="00721142">
      <w:pPr>
        <w:spacing w:after="0" w:line="360" w:lineRule="auto"/>
        <w:ind w:firstLine="709"/>
        <w:jc w:val="both"/>
        <w:rPr>
          <w:rFonts w:ascii="Times New Roman" w:eastAsia="Times New Roman" w:hAnsi="Times New Roman" w:cs="Times New Roman"/>
          <w:sz w:val="28"/>
          <w:szCs w:val="28"/>
        </w:rPr>
      </w:pPr>
    </w:p>
    <w:p w:rsidR="00721142" w:rsidRDefault="00721142">
      <w:pPr>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br w:type="page"/>
      </w:r>
    </w:p>
    <w:p w:rsidR="00721142" w:rsidRDefault="00721142" w:rsidP="00370BCB">
      <w:pPr>
        <w:spacing w:after="0" w:line="360" w:lineRule="auto"/>
        <w:ind w:firstLine="709"/>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lastRenderedPageBreak/>
        <w:t>Таблица 1 – Численность государственных гражданских служащих Республики Бурятия  на 01.01.2025г.</w:t>
      </w:r>
    </w:p>
    <w:tbl>
      <w:tblPr>
        <w:tblW w:w="0" w:type="auto"/>
        <w:tblBorders>
          <w:top w:val="outset" w:sz="6" w:space="0" w:color="auto"/>
          <w:left w:val="outset" w:sz="6" w:space="0" w:color="auto"/>
          <w:bottom w:val="outset" w:sz="6" w:space="0" w:color="auto"/>
          <w:right w:val="outset" w:sz="6" w:space="0" w:color="auto"/>
        </w:tblBorders>
        <w:shd w:val="clear" w:color="auto" w:fill="F3F2F2"/>
        <w:tblCellMar>
          <w:left w:w="0" w:type="dxa"/>
          <w:right w:w="0" w:type="dxa"/>
        </w:tblCellMar>
        <w:tblLook w:val="04A0"/>
      </w:tblPr>
      <w:tblGrid>
        <w:gridCol w:w="901"/>
        <w:gridCol w:w="1782"/>
        <w:gridCol w:w="2125"/>
        <w:gridCol w:w="1221"/>
        <w:gridCol w:w="1918"/>
        <w:gridCol w:w="1991"/>
      </w:tblGrid>
      <w:tr w:rsidR="00721142" w:rsidRPr="00721142" w:rsidTr="007B7B32">
        <w:tc>
          <w:tcPr>
            <w:tcW w:w="4808" w:type="dxa"/>
            <w:gridSpan w:val="3"/>
            <w:tcBorders>
              <w:top w:val="outset" w:sz="6" w:space="0" w:color="auto"/>
              <w:left w:val="outset" w:sz="6" w:space="0" w:color="auto"/>
              <w:bottom w:val="outset" w:sz="6" w:space="0" w:color="auto"/>
              <w:right w:val="outset" w:sz="6" w:space="0" w:color="auto"/>
            </w:tcBorders>
            <w:shd w:val="clear" w:color="auto" w:fill="F3F2F2"/>
            <w:tcMar>
              <w:top w:w="150" w:type="dxa"/>
              <w:left w:w="150" w:type="dxa"/>
              <w:bottom w:w="150" w:type="dxa"/>
              <w:right w:w="150" w:type="dxa"/>
            </w:tcMar>
            <w:vAlign w:val="center"/>
            <w:hideMark/>
          </w:tcPr>
          <w:p w:rsidR="00721142" w:rsidRPr="00721142" w:rsidRDefault="00721142" w:rsidP="007B7B32">
            <w:pPr>
              <w:spacing w:after="0" w:line="240" w:lineRule="auto"/>
              <w:jc w:val="center"/>
              <w:rPr>
                <w:rFonts w:ascii="Times New Roman" w:hAnsi="Times New Roman" w:cs="Times New Roman"/>
                <w:sz w:val="24"/>
                <w:szCs w:val="28"/>
              </w:rPr>
            </w:pPr>
            <w:r w:rsidRPr="00721142">
              <w:rPr>
                <w:rFonts w:ascii="Times New Roman" w:hAnsi="Times New Roman" w:cs="Times New Roman"/>
                <w:sz w:val="24"/>
                <w:szCs w:val="28"/>
              </w:rPr>
              <w:t>Численность в соответствии со штатным расписанием</w:t>
            </w:r>
          </w:p>
        </w:tc>
        <w:tc>
          <w:tcPr>
            <w:tcW w:w="5130" w:type="dxa"/>
            <w:gridSpan w:val="3"/>
            <w:tcBorders>
              <w:top w:val="outset" w:sz="6" w:space="0" w:color="auto"/>
              <w:left w:val="outset" w:sz="6" w:space="0" w:color="auto"/>
              <w:bottom w:val="outset" w:sz="6" w:space="0" w:color="auto"/>
              <w:right w:val="outset" w:sz="6" w:space="0" w:color="auto"/>
            </w:tcBorders>
            <w:shd w:val="clear" w:color="auto" w:fill="F3F2F2"/>
            <w:tcMar>
              <w:top w:w="150" w:type="dxa"/>
              <w:left w:w="150" w:type="dxa"/>
              <w:bottom w:w="150" w:type="dxa"/>
              <w:right w:w="150" w:type="dxa"/>
            </w:tcMar>
            <w:vAlign w:val="center"/>
            <w:hideMark/>
          </w:tcPr>
          <w:p w:rsidR="00721142" w:rsidRPr="00721142" w:rsidRDefault="00721142" w:rsidP="007B7B32">
            <w:pPr>
              <w:spacing w:after="0" w:line="240" w:lineRule="auto"/>
              <w:jc w:val="center"/>
              <w:rPr>
                <w:rFonts w:ascii="Times New Roman" w:hAnsi="Times New Roman" w:cs="Times New Roman"/>
                <w:sz w:val="24"/>
                <w:szCs w:val="28"/>
              </w:rPr>
            </w:pPr>
            <w:r w:rsidRPr="00721142">
              <w:rPr>
                <w:rFonts w:ascii="Times New Roman" w:hAnsi="Times New Roman" w:cs="Times New Roman"/>
                <w:sz w:val="24"/>
                <w:szCs w:val="28"/>
              </w:rPr>
              <w:t>Фактическая численность на 01.01.2025</w:t>
            </w:r>
          </w:p>
        </w:tc>
      </w:tr>
      <w:tr w:rsidR="00721142" w:rsidRPr="00721142" w:rsidTr="007B7B32">
        <w:tc>
          <w:tcPr>
            <w:tcW w:w="0" w:type="auto"/>
            <w:tcBorders>
              <w:top w:val="outset" w:sz="6" w:space="0" w:color="auto"/>
              <w:left w:val="outset" w:sz="6" w:space="0" w:color="auto"/>
              <w:bottom w:val="outset" w:sz="6" w:space="0" w:color="auto"/>
              <w:right w:val="outset" w:sz="6" w:space="0" w:color="auto"/>
            </w:tcBorders>
            <w:shd w:val="clear" w:color="auto" w:fill="F3F2F2"/>
            <w:tcMar>
              <w:top w:w="150" w:type="dxa"/>
              <w:left w:w="150" w:type="dxa"/>
              <w:bottom w:w="150" w:type="dxa"/>
              <w:right w:w="150" w:type="dxa"/>
            </w:tcMar>
            <w:vAlign w:val="center"/>
            <w:hideMark/>
          </w:tcPr>
          <w:p w:rsidR="00721142" w:rsidRPr="00721142" w:rsidRDefault="00721142" w:rsidP="007B7B32">
            <w:pPr>
              <w:spacing w:after="0" w:line="240" w:lineRule="auto"/>
              <w:jc w:val="center"/>
              <w:rPr>
                <w:rFonts w:ascii="Times New Roman" w:hAnsi="Times New Roman" w:cs="Times New Roman"/>
                <w:sz w:val="24"/>
                <w:szCs w:val="28"/>
              </w:rPr>
            </w:pPr>
            <w:r w:rsidRPr="00721142">
              <w:rPr>
                <w:rFonts w:ascii="Times New Roman" w:hAnsi="Times New Roman" w:cs="Times New Roman"/>
                <w:sz w:val="24"/>
                <w:szCs w:val="28"/>
              </w:rPr>
              <w:t>Всего</w:t>
            </w:r>
          </w:p>
        </w:tc>
        <w:tc>
          <w:tcPr>
            <w:tcW w:w="1766" w:type="dxa"/>
            <w:tcBorders>
              <w:top w:val="outset" w:sz="6" w:space="0" w:color="auto"/>
              <w:left w:val="outset" w:sz="6" w:space="0" w:color="auto"/>
              <w:bottom w:val="outset" w:sz="6" w:space="0" w:color="auto"/>
              <w:right w:val="outset" w:sz="6" w:space="0" w:color="auto"/>
            </w:tcBorders>
            <w:shd w:val="clear" w:color="auto" w:fill="F3F2F2"/>
            <w:tcMar>
              <w:top w:w="150" w:type="dxa"/>
              <w:left w:w="150" w:type="dxa"/>
              <w:bottom w:w="150" w:type="dxa"/>
              <w:right w:w="150" w:type="dxa"/>
            </w:tcMar>
            <w:vAlign w:val="center"/>
            <w:hideMark/>
          </w:tcPr>
          <w:p w:rsidR="00721142" w:rsidRPr="00721142" w:rsidRDefault="00721142" w:rsidP="007B7B32">
            <w:pPr>
              <w:spacing w:after="0" w:line="240" w:lineRule="auto"/>
              <w:jc w:val="center"/>
              <w:rPr>
                <w:rFonts w:ascii="Times New Roman" w:hAnsi="Times New Roman" w:cs="Times New Roman"/>
                <w:sz w:val="24"/>
                <w:szCs w:val="28"/>
              </w:rPr>
            </w:pPr>
            <w:r w:rsidRPr="00721142">
              <w:rPr>
                <w:rFonts w:ascii="Times New Roman" w:hAnsi="Times New Roman" w:cs="Times New Roman"/>
                <w:sz w:val="24"/>
                <w:szCs w:val="28"/>
              </w:rPr>
              <w:t>из них ГГС</w:t>
            </w:r>
          </w:p>
        </w:tc>
        <w:tc>
          <w:tcPr>
            <w:tcW w:w="2106" w:type="dxa"/>
            <w:tcBorders>
              <w:top w:val="outset" w:sz="6" w:space="0" w:color="auto"/>
              <w:left w:val="outset" w:sz="6" w:space="0" w:color="auto"/>
              <w:bottom w:val="outset" w:sz="6" w:space="0" w:color="auto"/>
              <w:right w:val="outset" w:sz="6" w:space="0" w:color="auto"/>
            </w:tcBorders>
            <w:shd w:val="clear" w:color="auto" w:fill="F3F2F2"/>
            <w:tcMar>
              <w:top w:w="150" w:type="dxa"/>
              <w:left w:w="150" w:type="dxa"/>
              <w:bottom w:w="150" w:type="dxa"/>
              <w:right w:w="150" w:type="dxa"/>
            </w:tcMar>
            <w:vAlign w:val="center"/>
            <w:hideMark/>
          </w:tcPr>
          <w:p w:rsidR="00721142" w:rsidRPr="00721142" w:rsidRDefault="008C6F08" w:rsidP="007B7B32">
            <w:pPr>
              <w:spacing w:after="0" w:line="240" w:lineRule="auto"/>
              <w:jc w:val="center"/>
              <w:rPr>
                <w:rFonts w:ascii="Times New Roman" w:hAnsi="Times New Roman" w:cs="Times New Roman"/>
                <w:sz w:val="24"/>
                <w:szCs w:val="28"/>
              </w:rPr>
            </w:pPr>
            <w:r>
              <w:rPr>
                <w:rFonts w:ascii="Times New Roman" w:hAnsi="Times New Roman" w:cs="Times New Roman"/>
                <w:sz w:val="24"/>
                <w:szCs w:val="28"/>
              </w:rPr>
              <w:t xml:space="preserve">Гос.  </w:t>
            </w:r>
            <w:r w:rsidR="00721142" w:rsidRPr="00721142">
              <w:rPr>
                <w:rFonts w:ascii="Times New Roman" w:hAnsi="Times New Roman" w:cs="Times New Roman"/>
                <w:sz w:val="24"/>
                <w:szCs w:val="28"/>
              </w:rPr>
              <w:t>должности</w:t>
            </w:r>
          </w:p>
        </w:tc>
        <w:tc>
          <w:tcPr>
            <w:tcW w:w="1221" w:type="dxa"/>
            <w:tcBorders>
              <w:top w:val="outset" w:sz="6" w:space="0" w:color="auto"/>
              <w:left w:val="outset" w:sz="6" w:space="0" w:color="auto"/>
              <w:bottom w:val="outset" w:sz="6" w:space="0" w:color="auto"/>
              <w:right w:val="outset" w:sz="6" w:space="0" w:color="auto"/>
            </w:tcBorders>
            <w:shd w:val="clear" w:color="auto" w:fill="F3F2F2"/>
            <w:tcMar>
              <w:top w:w="150" w:type="dxa"/>
              <w:left w:w="150" w:type="dxa"/>
              <w:bottom w:w="150" w:type="dxa"/>
              <w:right w:w="150" w:type="dxa"/>
            </w:tcMar>
            <w:vAlign w:val="center"/>
            <w:hideMark/>
          </w:tcPr>
          <w:p w:rsidR="00721142" w:rsidRPr="00721142" w:rsidRDefault="00721142" w:rsidP="007B7B32">
            <w:pPr>
              <w:spacing w:after="0" w:line="240" w:lineRule="auto"/>
              <w:jc w:val="center"/>
              <w:rPr>
                <w:rFonts w:ascii="Times New Roman" w:hAnsi="Times New Roman" w:cs="Times New Roman"/>
                <w:sz w:val="24"/>
                <w:szCs w:val="28"/>
              </w:rPr>
            </w:pPr>
            <w:r w:rsidRPr="00721142">
              <w:rPr>
                <w:rFonts w:ascii="Times New Roman" w:hAnsi="Times New Roman" w:cs="Times New Roman"/>
                <w:sz w:val="24"/>
                <w:szCs w:val="28"/>
              </w:rPr>
              <w:t>Всего</w:t>
            </w:r>
          </w:p>
        </w:tc>
        <w:tc>
          <w:tcPr>
            <w:tcW w:w="1918" w:type="dxa"/>
            <w:tcBorders>
              <w:top w:val="outset" w:sz="6" w:space="0" w:color="auto"/>
              <w:left w:val="outset" w:sz="6" w:space="0" w:color="auto"/>
              <w:bottom w:val="outset" w:sz="6" w:space="0" w:color="auto"/>
              <w:right w:val="outset" w:sz="6" w:space="0" w:color="auto"/>
            </w:tcBorders>
            <w:shd w:val="clear" w:color="auto" w:fill="F3F2F2"/>
            <w:tcMar>
              <w:top w:w="150" w:type="dxa"/>
              <w:left w:w="150" w:type="dxa"/>
              <w:bottom w:w="150" w:type="dxa"/>
              <w:right w:w="150" w:type="dxa"/>
            </w:tcMar>
            <w:vAlign w:val="center"/>
            <w:hideMark/>
          </w:tcPr>
          <w:p w:rsidR="00721142" w:rsidRPr="00721142" w:rsidRDefault="00721142" w:rsidP="007B7B32">
            <w:pPr>
              <w:spacing w:after="0" w:line="240" w:lineRule="auto"/>
              <w:jc w:val="center"/>
              <w:rPr>
                <w:rFonts w:ascii="Times New Roman" w:hAnsi="Times New Roman" w:cs="Times New Roman"/>
                <w:sz w:val="24"/>
                <w:szCs w:val="28"/>
              </w:rPr>
            </w:pPr>
            <w:r w:rsidRPr="00721142">
              <w:rPr>
                <w:rFonts w:ascii="Times New Roman" w:hAnsi="Times New Roman" w:cs="Times New Roman"/>
                <w:sz w:val="24"/>
                <w:szCs w:val="28"/>
              </w:rPr>
              <w:t>из них ГГС</w:t>
            </w:r>
          </w:p>
        </w:tc>
        <w:tc>
          <w:tcPr>
            <w:tcW w:w="1991" w:type="dxa"/>
            <w:tcBorders>
              <w:top w:val="outset" w:sz="6" w:space="0" w:color="auto"/>
              <w:left w:val="outset" w:sz="6" w:space="0" w:color="auto"/>
              <w:bottom w:val="outset" w:sz="6" w:space="0" w:color="auto"/>
              <w:right w:val="outset" w:sz="6" w:space="0" w:color="auto"/>
            </w:tcBorders>
            <w:shd w:val="clear" w:color="auto" w:fill="F3F2F2"/>
            <w:tcMar>
              <w:top w:w="150" w:type="dxa"/>
              <w:left w:w="150" w:type="dxa"/>
              <w:bottom w:w="150" w:type="dxa"/>
              <w:right w:w="150" w:type="dxa"/>
            </w:tcMar>
            <w:vAlign w:val="center"/>
            <w:hideMark/>
          </w:tcPr>
          <w:p w:rsidR="00721142" w:rsidRPr="00721142" w:rsidRDefault="00721142" w:rsidP="007B7B32">
            <w:pPr>
              <w:spacing w:after="0" w:line="240" w:lineRule="auto"/>
              <w:jc w:val="center"/>
              <w:rPr>
                <w:rFonts w:ascii="Times New Roman" w:hAnsi="Times New Roman" w:cs="Times New Roman"/>
                <w:sz w:val="24"/>
                <w:szCs w:val="28"/>
              </w:rPr>
            </w:pPr>
            <w:r w:rsidRPr="00721142">
              <w:rPr>
                <w:rFonts w:ascii="Times New Roman" w:hAnsi="Times New Roman" w:cs="Times New Roman"/>
                <w:sz w:val="24"/>
                <w:szCs w:val="28"/>
              </w:rPr>
              <w:t>Гос.  должности</w:t>
            </w:r>
          </w:p>
        </w:tc>
      </w:tr>
      <w:tr w:rsidR="00721142" w:rsidRPr="00721142" w:rsidTr="007B7B32">
        <w:tc>
          <w:tcPr>
            <w:tcW w:w="0" w:type="auto"/>
            <w:tcBorders>
              <w:top w:val="outset" w:sz="6" w:space="0" w:color="auto"/>
              <w:left w:val="outset" w:sz="6" w:space="0" w:color="auto"/>
              <w:bottom w:val="outset" w:sz="6" w:space="0" w:color="auto"/>
              <w:right w:val="outset" w:sz="6" w:space="0" w:color="auto"/>
            </w:tcBorders>
            <w:shd w:val="clear" w:color="auto" w:fill="F3F2F2"/>
            <w:tcMar>
              <w:top w:w="150" w:type="dxa"/>
              <w:left w:w="150" w:type="dxa"/>
              <w:bottom w:w="150" w:type="dxa"/>
              <w:right w:w="150" w:type="dxa"/>
            </w:tcMar>
            <w:vAlign w:val="center"/>
            <w:hideMark/>
          </w:tcPr>
          <w:p w:rsidR="00721142" w:rsidRPr="00721142" w:rsidRDefault="00721142" w:rsidP="007B7B32">
            <w:pPr>
              <w:spacing w:after="0" w:line="240" w:lineRule="auto"/>
              <w:jc w:val="center"/>
              <w:rPr>
                <w:rFonts w:ascii="Times New Roman" w:hAnsi="Times New Roman" w:cs="Times New Roman"/>
                <w:sz w:val="24"/>
                <w:szCs w:val="28"/>
              </w:rPr>
            </w:pPr>
            <w:r w:rsidRPr="00721142">
              <w:rPr>
                <w:rFonts w:ascii="Times New Roman" w:hAnsi="Times New Roman" w:cs="Times New Roman"/>
                <w:sz w:val="24"/>
                <w:szCs w:val="28"/>
              </w:rPr>
              <w:t>2 198</w:t>
            </w:r>
          </w:p>
        </w:tc>
        <w:tc>
          <w:tcPr>
            <w:tcW w:w="1766" w:type="dxa"/>
            <w:tcBorders>
              <w:top w:val="outset" w:sz="6" w:space="0" w:color="auto"/>
              <w:left w:val="outset" w:sz="6" w:space="0" w:color="auto"/>
              <w:bottom w:val="outset" w:sz="6" w:space="0" w:color="auto"/>
              <w:right w:val="outset" w:sz="6" w:space="0" w:color="auto"/>
            </w:tcBorders>
            <w:shd w:val="clear" w:color="auto" w:fill="F3F2F2"/>
            <w:tcMar>
              <w:top w:w="150" w:type="dxa"/>
              <w:left w:w="150" w:type="dxa"/>
              <w:bottom w:w="150" w:type="dxa"/>
              <w:right w:w="150" w:type="dxa"/>
            </w:tcMar>
            <w:vAlign w:val="center"/>
            <w:hideMark/>
          </w:tcPr>
          <w:p w:rsidR="00721142" w:rsidRPr="00721142" w:rsidRDefault="00721142" w:rsidP="007B7B32">
            <w:pPr>
              <w:spacing w:after="0" w:line="240" w:lineRule="auto"/>
              <w:jc w:val="center"/>
              <w:rPr>
                <w:rFonts w:ascii="Times New Roman" w:hAnsi="Times New Roman" w:cs="Times New Roman"/>
                <w:sz w:val="24"/>
                <w:szCs w:val="28"/>
              </w:rPr>
            </w:pPr>
            <w:r w:rsidRPr="00721142">
              <w:rPr>
                <w:rFonts w:ascii="Times New Roman" w:hAnsi="Times New Roman" w:cs="Times New Roman"/>
                <w:sz w:val="24"/>
                <w:szCs w:val="28"/>
              </w:rPr>
              <w:t>1 474</w:t>
            </w:r>
          </w:p>
        </w:tc>
        <w:tc>
          <w:tcPr>
            <w:tcW w:w="2106" w:type="dxa"/>
            <w:tcBorders>
              <w:top w:val="outset" w:sz="6" w:space="0" w:color="auto"/>
              <w:left w:val="outset" w:sz="6" w:space="0" w:color="auto"/>
              <w:bottom w:val="outset" w:sz="6" w:space="0" w:color="auto"/>
              <w:right w:val="outset" w:sz="6" w:space="0" w:color="auto"/>
            </w:tcBorders>
            <w:shd w:val="clear" w:color="auto" w:fill="F3F2F2"/>
            <w:tcMar>
              <w:top w:w="150" w:type="dxa"/>
              <w:left w:w="150" w:type="dxa"/>
              <w:bottom w:w="150" w:type="dxa"/>
              <w:right w:w="150" w:type="dxa"/>
            </w:tcMar>
            <w:vAlign w:val="center"/>
            <w:hideMark/>
          </w:tcPr>
          <w:p w:rsidR="00721142" w:rsidRPr="00721142" w:rsidRDefault="00721142" w:rsidP="007B7B32">
            <w:pPr>
              <w:spacing w:after="0" w:line="240" w:lineRule="auto"/>
              <w:jc w:val="center"/>
              <w:rPr>
                <w:rFonts w:ascii="Times New Roman" w:hAnsi="Times New Roman" w:cs="Times New Roman"/>
                <w:sz w:val="24"/>
                <w:szCs w:val="28"/>
              </w:rPr>
            </w:pPr>
            <w:r w:rsidRPr="00721142">
              <w:rPr>
                <w:rFonts w:ascii="Times New Roman" w:hAnsi="Times New Roman" w:cs="Times New Roman"/>
                <w:sz w:val="24"/>
                <w:szCs w:val="28"/>
              </w:rPr>
              <w:t>26</w:t>
            </w:r>
          </w:p>
        </w:tc>
        <w:tc>
          <w:tcPr>
            <w:tcW w:w="1221" w:type="dxa"/>
            <w:tcBorders>
              <w:top w:val="outset" w:sz="6" w:space="0" w:color="auto"/>
              <w:left w:val="outset" w:sz="6" w:space="0" w:color="auto"/>
              <w:bottom w:val="outset" w:sz="6" w:space="0" w:color="auto"/>
              <w:right w:val="outset" w:sz="6" w:space="0" w:color="auto"/>
            </w:tcBorders>
            <w:shd w:val="clear" w:color="auto" w:fill="F3F2F2"/>
            <w:tcMar>
              <w:top w:w="150" w:type="dxa"/>
              <w:left w:w="150" w:type="dxa"/>
              <w:bottom w:w="150" w:type="dxa"/>
              <w:right w:w="150" w:type="dxa"/>
            </w:tcMar>
            <w:vAlign w:val="center"/>
            <w:hideMark/>
          </w:tcPr>
          <w:p w:rsidR="00721142" w:rsidRPr="00721142" w:rsidRDefault="00721142" w:rsidP="007B7B32">
            <w:pPr>
              <w:spacing w:after="0" w:line="240" w:lineRule="auto"/>
              <w:jc w:val="center"/>
              <w:rPr>
                <w:rFonts w:ascii="Times New Roman" w:hAnsi="Times New Roman" w:cs="Times New Roman"/>
                <w:sz w:val="24"/>
                <w:szCs w:val="28"/>
              </w:rPr>
            </w:pPr>
            <w:r w:rsidRPr="00721142">
              <w:rPr>
                <w:rFonts w:ascii="Times New Roman" w:hAnsi="Times New Roman" w:cs="Times New Roman"/>
                <w:sz w:val="24"/>
                <w:szCs w:val="28"/>
              </w:rPr>
              <w:t>1 985</w:t>
            </w:r>
          </w:p>
        </w:tc>
        <w:tc>
          <w:tcPr>
            <w:tcW w:w="1918" w:type="dxa"/>
            <w:tcBorders>
              <w:top w:val="outset" w:sz="6" w:space="0" w:color="auto"/>
              <w:left w:val="outset" w:sz="6" w:space="0" w:color="auto"/>
              <w:bottom w:val="outset" w:sz="6" w:space="0" w:color="auto"/>
              <w:right w:val="outset" w:sz="6" w:space="0" w:color="auto"/>
            </w:tcBorders>
            <w:shd w:val="clear" w:color="auto" w:fill="F3F2F2"/>
            <w:tcMar>
              <w:top w:w="150" w:type="dxa"/>
              <w:left w:w="150" w:type="dxa"/>
              <w:bottom w:w="150" w:type="dxa"/>
              <w:right w:w="150" w:type="dxa"/>
            </w:tcMar>
            <w:vAlign w:val="center"/>
            <w:hideMark/>
          </w:tcPr>
          <w:p w:rsidR="00721142" w:rsidRPr="00721142" w:rsidRDefault="00721142" w:rsidP="007B7B32">
            <w:pPr>
              <w:spacing w:after="0" w:line="240" w:lineRule="auto"/>
              <w:jc w:val="center"/>
              <w:rPr>
                <w:rFonts w:ascii="Times New Roman" w:hAnsi="Times New Roman" w:cs="Times New Roman"/>
                <w:sz w:val="24"/>
                <w:szCs w:val="28"/>
              </w:rPr>
            </w:pPr>
            <w:r w:rsidRPr="00721142">
              <w:rPr>
                <w:rFonts w:ascii="Times New Roman" w:hAnsi="Times New Roman" w:cs="Times New Roman"/>
                <w:sz w:val="24"/>
                <w:szCs w:val="28"/>
              </w:rPr>
              <w:t>1 330</w:t>
            </w:r>
          </w:p>
        </w:tc>
        <w:tc>
          <w:tcPr>
            <w:tcW w:w="1991" w:type="dxa"/>
            <w:tcBorders>
              <w:top w:val="outset" w:sz="6" w:space="0" w:color="auto"/>
              <w:left w:val="outset" w:sz="6" w:space="0" w:color="auto"/>
              <w:bottom w:val="outset" w:sz="6" w:space="0" w:color="auto"/>
              <w:right w:val="outset" w:sz="6" w:space="0" w:color="auto"/>
            </w:tcBorders>
            <w:shd w:val="clear" w:color="auto" w:fill="F3F2F2"/>
            <w:tcMar>
              <w:top w:w="150" w:type="dxa"/>
              <w:left w:w="150" w:type="dxa"/>
              <w:bottom w:w="150" w:type="dxa"/>
              <w:right w:w="150" w:type="dxa"/>
            </w:tcMar>
            <w:vAlign w:val="center"/>
            <w:hideMark/>
          </w:tcPr>
          <w:p w:rsidR="00721142" w:rsidRPr="00721142" w:rsidRDefault="00721142" w:rsidP="007B7B32">
            <w:pPr>
              <w:spacing w:after="0" w:line="240" w:lineRule="auto"/>
              <w:jc w:val="center"/>
              <w:rPr>
                <w:rFonts w:ascii="Times New Roman" w:hAnsi="Times New Roman" w:cs="Times New Roman"/>
                <w:sz w:val="24"/>
                <w:szCs w:val="28"/>
              </w:rPr>
            </w:pPr>
            <w:r w:rsidRPr="00721142">
              <w:rPr>
                <w:rFonts w:ascii="Times New Roman" w:hAnsi="Times New Roman" w:cs="Times New Roman"/>
                <w:sz w:val="24"/>
                <w:szCs w:val="28"/>
              </w:rPr>
              <w:t>26</w:t>
            </w:r>
          </w:p>
        </w:tc>
      </w:tr>
    </w:tbl>
    <w:p w:rsidR="00370BCB" w:rsidRDefault="00370BCB">
      <w:pPr>
        <w:spacing w:after="0" w:line="360" w:lineRule="auto"/>
        <w:ind w:firstLine="709"/>
        <w:jc w:val="both"/>
        <w:rPr>
          <w:rFonts w:ascii="Times New Roman" w:eastAsia="Times New Roman" w:hAnsi="Times New Roman" w:cs="Times New Roman"/>
          <w:sz w:val="28"/>
          <w:szCs w:val="28"/>
        </w:rPr>
      </w:pPr>
    </w:p>
    <w:p w:rsidR="00FB2EEF" w:rsidRDefault="004B2157">
      <w:pPr>
        <w:spacing w:after="0" w:line="36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b/>
          <w:sz w:val="28"/>
          <w:szCs w:val="28"/>
        </w:rPr>
        <w:t>Структура кадрового состава по должностным категориям.</w:t>
      </w:r>
      <w:r>
        <w:rPr>
          <w:rFonts w:ascii="Times New Roman" w:eastAsia="Times New Roman" w:hAnsi="Times New Roman" w:cs="Times New Roman"/>
          <w:sz w:val="28"/>
          <w:szCs w:val="28"/>
        </w:rPr>
        <w:t xml:space="preserve"> Преобладающая доля категории «специалисты» (77 %) свидетельствует о высокой степени исполнительной и аналитической нагрузки в деятельности регионального госаппарата. Это типично для субъектов РФ с умеренным объёмом полномочий, где основной упор делается на реализацию федеральных и региональных программ, а не на стратегическое управление. При этом крайне низкая представленность категории «обеспечивающие специалисты» (1 %) может указывать на оптимизацию вспомогательных функций или их передачу на аутсорсинг, что соответствует современным тенденциям цифровизации и сокращения административных издержек.</w:t>
      </w:r>
    </w:p>
    <w:p w:rsidR="00FB2EEF" w:rsidRDefault="004B2157">
      <w:pPr>
        <w:spacing w:after="0" w:line="36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Важно отметить, что среди специалистов преобладают сотрудники главной (55 %) и ведущей (25 %) групп должностей, в то время как доля высшей группы составляет всего 2 %. Это может свидетельствовать о недостаточной вертикальной мобильности или о сдержанной политике в части формирования управленческого резерва из числа специалистов. В то же время среди руководителей высшая группа должностей представлена значительно шире (32 %), что логично, но требует сопоставления с возрастной структурой.</w:t>
      </w:r>
    </w:p>
    <w:p w:rsidR="00FB2EEF" w:rsidRDefault="004B2157">
      <w:pPr>
        <w:spacing w:after="0" w:line="36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b/>
          <w:sz w:val="28"/>
          <w:szCs w:val="28"/>
        </w:rPr>
        <w:t>Возрастная структура и динамика обновления кадров.</w:t>
      </w:r>
      <w:r>
        <w:rPr>
          <w:rFonts w:ascii="Times New Roman" w:eastAsia="Times New Roman" w:hAnsi="Times New Roman" w:cs="Times New Roman"/>
          <w:sz w:val="28"/>
          <w:szCs w:val="28"/>
        </w:rPr>
        <w:t xml:space="preserve"> Возрастная структура государственных служащих характеризуется преобладанием среднего поколения: 39 % сотрудников — в возрасте 40–50 лет, 29 % — в возрасте 30–40 лет</w:t>
      </w:r>
      <w:r w:rsidR="00370BCB">
        <w:rPr>
          <w:rFonts w:ascii="Times New Roman" w:eastAsia="Times New Roman" w:hAnsi="Times New Roman" w:cs="Times New Roman"/>
          <w:sz w:val="28"/>
          <w:szCs w:val="28"/>
        </w:rPr>
        <w:t xml:space="preserve"> (Табл.2)</w:t>
      </w:r>
      <w:r>
        <w:rPr>
          <w:rFonts w:ascii="Times New Roman" w:eastAsia="Times New Roman" w:hAnsi="Times New Roman" w:cs="Times New Roman"/>
          <w:sz w:val="28"/>
          <w:szCs w:val="28"/>
        </w:rPr>
        <w:t xml:space="preserve">. Доля молодых специалистов (до 30 лет) составляет всего 11 %, что указывает на ограниченную привлекательность государственной службы для молодёжи. Однако положительной тенденцией </w:t>
      </w:r>
      <w:r>
        <w:rPr>
          <w:rFonts w:ascii="Times New Roman" w:eastAsia="Times New Roman" w:hAnsi="Times New Roman" w:cs="Times New Roman"/>
          <w:sz w:val="28"/>
          <w:szCs w:val="28"/>
        </w:rPr>
        <w:lastRenderedPageBreak/>
        <w:t>является рост числа специалистов в возрасте до 50 лет (+15 человек в 2024 году), что может быть связано с целенаправленной политикой по привлечению кадров из резерва (121 из 198 принятых в 2024 году).</w:t>
      </w:r>
    </w:p>
    <w:p w:rsidR="00370BCB" w:rsidRDefault="00370BCB" w:rsidP="00370BCB">
      <w:pPr>
        <w:spacing w:after="0" w:line="360" w:lineRule="auto"/>
        <w:ind w:firstLine="709"/>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Таблица 2 – Численность государственных гражданских служащих Республики Бурятия по возрасту и полу</w:t>
      </w:r>
    </w:p>
    <w:p w:rsidR="00370BCB" w:rsidRDefault="00370BCB" w:rsidP="00370BCB">
      <w:pPr>
        <w:spacing w:after="0" w:line="360" w:lineRule="auto"/>
        <w:jc w:val="both"/>
        <w:rPr>
          <w:rFonts w:ascii="Times New Roman" w:eastAsia="Times New Roman" w:hAnsi="Times New Roman" w:cs="Times New Roman"/>
          <w:sz w:val="28"/>
          <w:szCs w:val="28"/>
        </w:rPr>
      </w:pPr>
      <w:r w:rsidRPr="00721142">
        <w:rPr>
          <w:rFonts w:ascii="Times New Roman" w:eastAsia="Times New Roman" w:hAnsi="Times New Roman" w:cs="Times New Roman"/>
          <w:noProof/>
          <w:sz w:val="28"/>
          <w:szCs w:val="28"/>
        </w:rPr>
        <w:drawing>
          <wp:inline distT="0" distB="0" distL="0" distR="0">
            <wp:extent cx="6120130" cy="1463113"/>
            <wp:effectExtent l="19050" t="0" r="0" b="0"/>
            <wp:docPr id="9"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srcRect/>
                    <a:stretch>
                      <a:fillRect/>
                    </a:stretch>
                  </pic:blipFill>
                  <pic:spPr bwMode="auto">
                    <a:xfrm>
                      <a:off x="0" y="0"/>
                      <a:ext cx="6120130" cy="1463113"/>
                    </a:xfrm>
                    <a:prstGeom prst="rect">
                      <a:avLst/>
                    </a:prstGeom>
                    <a:noFill/>
                    <a:ln w="9525">
                      <a:noFill/>
                      <a:miter lim="800000"/>
                      <a:headEnd/>
                      <a:tailEnd/>
                    </a:ln>
                  </pic:spPr>
                </pic:pic>
              </a:graphicData>
            </a:graphic>
          </wp:inline>
        </w:drawing>
      </w:r>
    </w:p>
    <w:p w:rsidR="00FB2EEF" w:rsidRDefault="004B2157">
      <w:pPr>
        <w:spacing w:after="0" w:line="36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Одновременно с этим наблюдается сокращение группы со стажем 1–5 лет, –34 человека при росте числа новичков со стажем до 1 года, это +14 человек. Такая динамика может свидетельствовать о высокой текучести кадров на ранних этапах карьеры, что подтверждается данными о наставничестве: из 77 молодых специалистов, включённых в эту</w:t>
      </w:r>
      <w:r w:rsidR="008C6F08">
        <w:rPr>
          <w:rFonts w:ascii="Times New Roman" w:eastAsia="Times New Roman" w:hAnsi="Times New Roman" w:cs="Times New Roman"/>
          <w:sz w:val="28"/>
          <w:szCs w:val="28"/>
        </w:rPr>
        <w:t xml:space="preserve"> </w:t>
      </w:r>
      <w:r>
        <w:rPr>
          <w:rFonts w:ascii="Times New Roman" w:eastAsia="Times New Roman" w:hAnsi="Times New Roman" w:cs="Times New Roman"/>
          <w:sz w:val="28"/>
          <w:szCs w:val="28"/>
        </w:rPr>
        <w:t>программу, успешно адаптировались лишь 44. Это указывает на необходимость совершенствования механизмов адаптации и нематериальной мотивации для удержания молодых кадров.</w:t>
      </w:r>
    </w:p>
    <w:p w:rsidR="00FB2EEF" w:rsidRDefault="004B2157">
      <w:pPr>
        <w:spacing w:after="0" w:line="36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Среди руководителей доля лиц моложе 40 лет составляет всего 17 %, что подчёркивает низкую текучесть управленческих кадров и потенциальный риск «старения» руководящего звена. В то же время доля руководителей старше 60 лет (7 %) остаётся умеренной, что говорит о соблюдении баланса между опытом и обновлением.</w:t>
      </w:r>
    </w:p>
    <w:p w:rsidR="00370BCB" w:rsidRDefault="00370BCB" w:rsidP="00370BCB">
      <w:pPr>
        <w:spacing w:after="0" w:line="36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b/>
          <w:sz w:val="28"/>
          <w:szCs w:val="28"/>
        </w:rPr>
        <w:t>Гендерный и этнический состав.</w:t>
      </w:r>
      <w:r>
        <w:rPr>
          <w:rFonts w:ascii="Times New Roman" w:eastAsia="Times New Roman" w:hAnsi="Times New Roman" w:cs="Times New Roman"/>
          <w:sz w:val="28"/>
          <w:szCs w:val="28"/>
        </w:rPr>
        <w:t xml:space="preserve"> Гендерный дисбаланс (соотношение мужчин и женщин 1:3, 75 % женщин) характерен для российской государственной службы в целом и особенно для социальной и административной сфер. Однако в контексте руководящих должностей такая диспропорция требует дополнительного анализа: если женщины преобладают и среди руководителей, это может свидетельствовать о прогрессивной кадровой </w:t>
      </w:r>
      <w:r>
        <w:rPr>
          <w:rFonts w:ascii="Times New Roman" w:eastAsia="Times New Roman" w:hAnsi="Times New Roman" w:cs="Times New Roman"/>
          <w:sz w:val="28"/>
          <w:szCs w:val="28"/>
        </w:rPr>
        <w:lastRenderedPageBreak/>
        <w:t>политике; если же руководящие должности в основном заняты мужчинами, это говорит о наличии «стеклянного потолка».</w:t>
      </w:r>
    </w:p>
    <w:p w:rsidR="00370BCB" w:rsidRDefault="00370BCB" w:rsidP="00370BCB">
      <w:pPr>
        <w:spacing w:after="0" w:line="360" w:lineRule="auto"/>
        <w:ind w:firstLine="709"/>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Таблица 3 – Численность государственных гражданских служащих Республики Бурятия по национальности и стажу работы</w:t>
      </w:r>
    </w:p>
    <w:p w:rsidR="00370BCB" w:rsidRDefault="00370BCB" w:rsidP="00370BCB">
      <w:pPr>
        <w:spacing w:after="0" w:line="360" w:lineRule="auto"/>
        <w:ind w:firstLine="709"/>
        <w:jc w:val="both"/>
        <w:rPr>
          <w:rFonts w:ascii="Times New Roman" w:eastAsia="Times New Roman" w:hAnsi="Times New Roman" w:cs="Times New Roman"/>
          <w:sz w:val="28"/>
          <w:szCs w:val="28"/>
        </w:rPr>
      </w:pPr>
      <w:r w:rsidRPr="00370BCB">
        <w:rPr>
          <w:rFonts w:ascii="Times New Roman" w:eastAsia="Times New Roman" w:hAnsi="Times New Roman" w:cs="Times New Roman"/>
          <w:noProof/>
          <w:sz w:val="28"/>
          <w:szCs w:val="28"/>
        </w:rPr>
        <w:drawing>
          <wp:inline distT="0" distB="0" distL="0" distR="0">
            <wp:extent cx="5259705" cy="1485265"/>
            <wp:effectExtent l="19050" t="0" r="0" b="0"/>
            <wp:docPr id="7"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srcRect/>
                    <a:stretch>
                      <a:fillRect/>
                    </a:stretch>
                  </pic:blipFill>
                  <pic:spPr bwMode="auto">
                    <a:xfrm>
                      <a:off x="0" y="0"/>
                      <a:ext cx="5259705" cy="1485265"/>
                    </a:xfrm>
                    <a:prstGeom prst="rect">
                      <a:avLst/>
                    </a:prstGeom>
                    <a:noFill/>
                    <a:ln w="9525">
                      <a:noFill/>
                      <a:miter lim="800000"/>
                      <a:headEnd/>
                      <a:tailEnd/>
                    </a:ln>
                  </pic:spPr>
                </pic:pic>
              </a:graphicData>
            </a:graphic>
          </wp:inline>
        </w:drawing>
      </w:r>
    </w:p>
    <w:p w:rsidR="00FB2EEF" w:rsidRDefault="004B2157">
      <w:pPr>
        <w:spacing w:after="0" w:line="36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b/>
          <w:sz w:val="28"/>
          <w:szCs w:val="28"/>
        </w:rPr>
        <w:t>Опыт работы и профессиональная зрелость.</w:t>
      </w:r>
      <w:r>
        <w:rPr>
          <w:rFonts w:ascii="Times New Roman" w:eastAsia="Times New Roman" w:hAnsi="Times New Roman" w:cs="Times New Roman"/>
          <w:sz w:val="28"/>
          <w:szCs w:val="28"/>
        </w:rPr>
        <w:t xml:space="preserve"> Более половины государственных служащих (54 %) имеют стаж работы 10 лет и более, что свидетельствует о высокой стабильности и профессиональной зрелости кадрового состава</w:t>
      </w:r>
      <w:r w:rsidR="00370BCB">
        <w:rPr>
          <w:rFonts w:ascii="Times New Roman" w:eastAsia="Times New Roman" w:hAnsi="Times New Roman" w:cs="Times New Roman"/>
          <w:sz w:val="28"/>
          <w:szCs w:val="28"/>
        </w:rPr>
        <w:t xml:space="preserve"> (Табл. 3).</w:t>
      </w:r>
      <w:r>
        <w:rPr>
          <w:rFonts w:ascii="Times New Roman" w:eastAsia="Times New Roman" w:hAnsi="Times New Roman" w:cs="Times New Roman"/>
          <w:sz w:val="28"/>
          <w:szCs w:val="28"/>
        </w:rPr>
        <w:t xml:space="preserve"> Такой состав обеспечивает преемственность и глубокое знание процедур, но может сопровождаться инерционностью, архаичностью мышления и сопротивлением инновациям. Рост числа опытных сотрудников +7 человек в группе со стажем ≥10 лет в сочетании с оттоком «среднего» поколения (1–5 лет) усиливает диспропорцию между «ядром» аппарата и его «периферией».</w:t>
      </w:r>
    </w:p>
    <w:p w:rsidR="00FB2EEF" w:rsidRDefault="004B2157">
      <w:pPr>
        <w:spacing w:after="0" w:line="36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b/>
          <w:sz w:val="28"/>
          <w:szCs w:val="28"/>
        </w:rPr>
        <w:t>Этнический состав</w:t>
      </w:r>
      <w:r>
        <w:rPr>
          <w:rFonts w:ascii="Times New Roman" w:eastAsia="Times New Roman" w:hAnsi="Times New Roman" w:cs="Times New Roman"/>
          <w:sz w:val="28"/>
          <w:szCs w:val="28"/>
        </w:rPr>
        <w:t xml:space="preserve"> (55 % бурят, 44 % русских, 1 % — другие национальности) отражает демографическую специфику региона и свидетельствует о высоком уровне вовлеченности коренного населения в систему государственного управления</w:t>
      </w:r>
      <w:r w:rsidR="00370BCB">
        <w:rPr>
          <w:rFonts w:ascii="Times New Roman" w:eastAsia="Times New Roman" w:hAnsi="Times New Roman" w:cs="Times New Roman"/>
          <w:sz w:val="28"/>
          <w:szCs w:val="28"/>
        </w:rPr>
        <w:t xml:space="preserve"> (табл. 3)</w:t>
      </w:r>
      <w:r>
        <w:rPr>
          <w:rFonts w:ascii="Times New Roman" w:eastAsia="Times New Roman" w:hAnsi="Times New Roman" w:cs="Times New Roman"/>
          <w:sz w:val="28"/>
          <w:szCs w:val="28"/>
        </w:rPr>
        <w:t>. Это способствует повышению легитимности власти и учёту культурных особенностей при реализации государственных программ, особенно на отдалённых территориях.</w:t>
      </w:r>
      <w:r w:rsidR="00370BCB">
        <w:rPr>
          <w:rFonts w:ascii="Times New Roman" w:eastAsia="Times New Roman" w:hAnsi="Times New Roman" w:cs="Times New Roman"/>
          <w:sz w:val="28"/>
          <w:szCs w:val="28"/>
        </w:rPr>
        <w:t xml:space="preserve"> </w:t>
      </w:r>
    </w:p>
    <w:p w:rsidR="00FB2EEF" w:rsidRDefault="004B2157">
      <w:pPr>
        <w:spacing w:after="0" w:line="36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b/>
          <w:sz w:val="28"/>
          <w:szCs w:val="28"/>
        </w:rPr>
        <w:t>Интегральная оценка и выводы.</w:t>
      </w:r>
      <w:r>
        <w:rPr>
          <w:rFonts w:ascii="Times New Roman" w:eastAsia="Times New Roman" w:hAnsi="Times New Roman" w:cs="Times New Roman"/>
          <w:sz w:val="28"/>
          <w:szCs w:val="28"/>
        </w:rPr>
        <w:t xml:space="preserve"> Кадровый состав исполнительных органов власти Республики Бурятия характеризуется:</w:t>
      </w:r>
    </w:p>
    <w:p w:rsidR="00FB2EEF" w:rsidRDefault="004B2157">
      <w:pPr>
        <w:spacing w:after="0" w:line="36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1. Высокой профессиональной стабильностью и опытом (54 % имеют стаж работы ≥10 лет);</w:t>
      </w:r>
    </w:p>
    <w:p w:rsidR="00FB2EEF" w:rsidRDefault="004B2157">
      <w:pPr>
        <w:spacing w:after="0" w:line="36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2. Недостаточной динамикой обновления, особенно в управленческом звене (лишь 17 % руководителей моложе 40 лет);</w:t>
      </w:r>
    </w:p>
    <w:p w:rsidR="00FB2EEF" w:rsidRDefault="004B2157">
      <w:pPr>
        <w:spacing w:after="0" w:line="36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lastRenderedPageBreak/>
        <w:t>3. Проблемами удержания молодых специалистов, о чём свидетельствует сокращение группы со стажем работы от 1 до 5 лет и низкая эффективность наставничества (успешно завершили программу 57 % участников);</w:t>
      </w:r>
    </w:p>
    <w:p w:rsidR="00FB2EEF" w:rsidRDefault="004B2157">
      <w:pPr>
        <w:spacing w:after="0" w:line="36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4. Сбалансированное этническое представительство, соответствующее национальному составу региона;</w:t>
      </w:r>
    </w:p>
    <w:p w:rsidR="00FB2EEF" w:rsidRDefault="004B2157">
      <w:pPr>
        <w:spacing w:after="0" w:line="36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5. Ярко выраженный гендерный перекос в пользу женщин, что требует анализа в разрезе должностей и карьерных траекторий.</w:t>
      </w:r>
    </w:p>
    <w:p w:rsidR="00FB2EEF" w:rsidRDefault="004B2157">
      <w:pPr>
        <w:spacing w:after="0" w:line="36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В условиях ограниченной конкурентоспособности заработной платы (ниже среднего по региону) и растущих требований к цифровой и управленческой компетентности ключевым ресурсом мотивации становится не столько материальное, сколько нематериальное стимулирование: карьерные возможности, признание, участие в принятии решений, развитие профессиональной автономии. Как отмечает Е.А. Митрофанова, именно такие инструменты позволяют компенсировать недостаток финансовых стимулов и сформировать устойчивую внутреннюю мотивацию, особенно у молодых и высококвалифицированных специалистов.</w:t>
      </w:r>
    </w:p>
    <w:p w:rsidR="00FB2EEF" w:rsidRDefault="004B2157">
      <w:pPr>
        <w:spacing w:after="0" w:line="36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Таким образом, для повышения эффективности кадровой политики в Республике Бурятия целесообразно:</w:t>
      </w:r>
    </w:p>
    <w:p w:rsidR="00FB2EEF" w:rsidRDefault="004B2157">
      <w:pPr>
        <w:spacing w:after="0" w:line="36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1. Усилить механизмы карьерной мобильности для специалистов основной и ведущей групп;</w:t>
      </w:r>
    </w:p>
    <w:p w:rsidR="00FB2EEF" w:rsidRDefault="004B2157">
      <w:pPr>
        <w:spacing w:after="0" w:line="36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2. Реформировать систему наставничества, включив в неё элементы наставничества и индивидуального развития;</w:t>
      </w:r>
    </w:p>
    <w:p w:rsidR="00FB2EEF" w:rsidRDefault="004B2157">
      <w:pPr>
        <w:spacing w:after="0" w:line="36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3. Разработать гибридные модели стимулирования, сочетающие нематериальные формы поощрения с прозрачными критериями продвижения по службе;</w:t>
      </w:r>
    </w:p>
    <w:p w:rsidR="00FB2EEF" w:rsidRDefault="004B2157">
      <w:pPr>
        <w:spacing w:after="0" w:line="36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4. Провести гендерный аудит руководящих должностей для выявления препятствий на пути продвижения;</w:t>
      </w:r>
    </w:p>
    <w:p w:rsidR="00FB2EEF" w:rsidRDefault="004B2157">
      <w:pPr>
        <w:spacing w:after="0" w:line="36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5. Использовать этнокультурный капитал государственных служащих как ресурс для повышения качества взаимодействия с населением в многонациональной среде.</w:t>
      </w:r>
    </w:p>
    <w:p w:rsidR="00FB2EEF" w:rsidRDefault="004B2157">
      <w:pPr>
        <w:spacing w:after="0" w:line="36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lastRenderedPageBreak/>
        <w:t>Такой подход позволит не только сохранить профессиональный состав госаппарата, но и создать условия для привлечения и удержания нового поколения управленцев, ориентированных на инновации и взаимодействие с гражданами. Одним из ключевых барьеров, ограничивающих мотивационный потенциал государственной службы в регионе, является уровень заработной платы, который, согласно имеющимся данным, устойчиво ниже среднерегионального показателя. В условиях, когда частный сектор предлагает более конкурентоспособные условия труда, особенно для специалистов с высоким уровнем квалификации, государственные органы сталкиваются с трудностями как при привлечении, так и при удержании талантливых кадров. При этом, как отмечает</w:t>
      </w:r>
      <w:r w:rsidR="008C6F08">
        <w:rPr>
          <w:rFonts w:ascii="Times New Roman" w:eastAsia="Times New Roman" w:hAnsi="Times New Roman" w:cs="Times New Roman"/>
          <w:sz w:val="28"/>
          <w:szCs w:val="28"/>
        </w:rPr>
        <w:t xml:space="preserve"> </w:t>
      </w:r>
      <w:r>
        <w:rPr>
          <w:rFonts w:ascii="Times New Roman" w:eastAsia="Times New Roman" w:hAnsi="Times New Roman" w:cs="Times New Roman"/>
          <w:sz w:val="28"/>
          <w:szCs w:val="28"/>
        </w:rPr>
        <w:t>Е.А. Митрофанова, даже при ограниченных финансовых возможностях организация может компенсировать недостаток материальных стимулов за счёт грамотно выстроенной системы нематериального поощрения — признания достижений, карьерных возможностей, участия в принятии решений, развития профессиональной автономии и формирования чувства социальной значимости работы.</w:t>
      </w:r>
    </w:p>
    <w:p w:rsidR="00FB2EEF" w:rsidRDefault="004B2157">
      <w:pPr>
        <w:spacing w:after="0" w:line="36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Таким образом, сложившаяся кадровая структура в Республике Бурятия отражает как определённую стабильность и профессионализм государственного аппарата, так и системные вызовы: недостаточную привлекательность для молодёжи, риск «застоя» в управленческих кадрах и ограниченность материальных стимулов. В этих условиях особенно актуальным становится переход от формального подхода к управлению персоналом к стратегии, ориентированной на индивидуализацию мотивационных воздействий и баланс материальных и нематериальных инструментов стимулирования, что соответствует современным рекомендациям в области управления человеческим капиталом в государственном секторе.</w:t>
      </w:r>
    </w:p>
    <w:p w:rsidR="00FB2EEF" w:rsidRDefault="00FB2EEF">
      <w:pPr>
        <w:spacing w:after="0" w:line="360" w:lineRule="auto"/>
        <w:ind w:firstLine="709"/>
        <w:jc w:val="both"/>
        <w:rPr>
          <w:rFonts w:ascii="Times New Roman" w:hAnsi="Times New Roman" w:cs="Times New Roman"/>
          <w:sz w:val="28"/>
          <w:szCs w:val="28"/>
        </w:rPr>
      </w:pPr>
    </w:p>
    <w:p w:rsidR="00FB2EEF" w:rsidRDefault="004B2157">
      <w:pPr>
        <w:rPr>
          <w:rFonts w:ascii="Times New Roman" w:hAnsi="Times New Roman" w:cs="Times New Roman"/>
          <w:sz w:val="28"/>
          <w:szCs w:val="28"/>
        </w:rPr>
      </w:pPr>
      <w:r>
        <w:rPr>
          <w:rFonts w:ascii="Times New Roman" w:hAnsi="Times New Roman" w:cs="Times New Roman"/>
          <w:sz w:val="28"/>
          <w:szCs w:val="28"/>
        </w:rPr>
        <w:br w:type="page"/>
      </w:r>
    </w:p>
    <w:p w:rsidR="00FB2EEF" w:rsidRDefault="004B2157">
      <w:pPr>
        <w:spacing w:after="0" w:line="360" w:lineRule="auto"/>
        <w:jc w:val="center"/>
        <w:rPr>
          <w:rFonts w:ascii="Times New Roman" w:hAnsi="Times New Roman" w:cs="Times New Roman"/>
          <w:sz w:val="28"/>
          <w:szCs w:val="28"/>
        </w:rPr>
      </w:pPr>
      <w:r>
        <w:rPr>
          <w:rFonts w:ascii="Times New Roman" w:hAnsi="Times New Roman" w:cs="Times New Roman"/>
          <w:sz w:val="28"/>
          <w:szCs w:val="28"/>
        </w:rPr>
        <w:lastRenderedPageBreak/>
        <w:t>СПИСОК ЛИТЕРАТУРЫ</w:t>
      </w:r>
    </w:p>
    <w:p w:rsidR="00FB2EEF" w:rsidRDefault="004B2157">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1. Трудовой кодекс Российской Федерации" от 30.12.2001 N 197-ФЗ (ред. от 31.07.2025) (с изм. и доп., вступ. в силу с 01.09.2025).</w:t>
      </w:r>
    </w:p>
    <w:p w:rsidR="00FB2EEF" w:rsidRDefault="004B2157">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2. Кот Е.М. Мотивация управленческого персонала / Кот Е.М., Петрякова С.В., Малькова Ю.В., Горбунова О.С., Пильникова И.Ф. // Право и управление. 2024. №4. URL: https://cyberleninka.ru/article/n/motivatsiya-upravlencheskogo-personala (дата обращения: 27.09.2025).</w:t>
      </w:r>
    </w:p>
    <w:p w:rsidR="00FB2EEF" w:rsidRDefault="004B2157">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3. Митрофанова А.Е. Система стимулирования как инструмент управления мотивацией труда персонала // УПИРР. 2018. №6. URL: https://cyberleninka.ru/article/n/sistema-stimulirovaniya-kak-instrument-upravleniya-motivatsiey-truda-personala (дата обращения: 27.09.2025).</w:t>
      </w:r>
    </w:p>
    <w:p w:rsidR="00FB2EEF" w:rsidRDefault="004B2157">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4. Савин В. Ф. Повышение эффективности механизмов кадрового обеспечения государственной службы // Экономическая среда. – 2016. – № 2(16). – С. 191-193. – EDN WMAVXV.</w:t>
      </w:r>
    </w:p>
    <w:p w:rsidR="00FB2EEF" w:rsidRDefault="004B2157">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5. Тимофеева Н.С. Повышение эффективности системы управления персоналом в Министерстве Сельского Хозяйства и Продовольствия Республики Бурятия / Тимофеева Н.С. Ишигенов И.В. // Kant. 2021. №2 (39). URL: https://cyberleninka.ru/article/n/povyshenie-effektivnosti-sistemy-upravleniya-personalom-v-ministerstve-selskogo-hozyaystva-i-prodovolstviya-respubliki-buryatiya (дата обращения: 27.09.2025).</w:t>
      </w:r>
    </w:p>
    <w:p w:rsidR="002D3E6C" w:rsidRDefault="004B2157">
      <w:pPr>
        <w:spacing w:after="0" w:line="360" w:lineRule="auto"/>
        <w:ind w:firstLine="709"/>
        <w:jc w:val="right"/>
        <w:rPr>
          <w:rFonts w:ascii="Times New Roman" w:hAnsi="Times New Roman" w:cs="Times New Roman"/>
          <w:sz w:val="28"/>
          <w:szCs w:val="28"/>
        </w:rPr>
      </w:pPr>
      <w:r>
        <w:rPr>
          <w:rFonts w:ascii="Times New Roman" w:hAnsi="Times New Roman" w:cs="Times New Roman"/>
          <w:sz w:val="28"/>
          <w:szCs w:val="28"/>
        </w:rPr>
        <w:t>©Монгуш А.Я., 2025г.</w:t>
      </w:r>
    </w:p>
    <w:p w:rsidR="002D3E6C" w:rsidRDefault="002D3E6C" w:rsidP="00370BCB">
      <w:pPr>
        <w:spacing w:after="0" w:line="240" w:lineRule="auto"/>
        <w:rPr>
          <w:rFonts w:ascii="Times New Roman" w:hAnsi="Times New Roman" w:cs="Times New Roman"/>
          <w:sz w:val="28"/>
          <w:szCs w:val="28"/>
        </w:rPr>
      </w:pPr>
    </w:p>
    <w:sectPr w:rsidR="002D3E6C" w:rsidSect="00FB2EEF">
      <w:pgSz w:w="11906" w:h="16838"/>
      <w:pgMar w:top="1134" w:right="1134" w:bottom="1134" w:left="1134"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41C3E" w:rsidRDefault="00341C3E">
      <w:pPr>
        <w:spacing w:line="240" w:lineRule="auto"/>
      </w:pPr>
      <w:r>
        <w:separator/>
      </w:r>
    </w:p>
  </w:endnote>
  <w:endnote w:type="continuationSeparator" w:id="1">
    <w:p w:rsidR="00341C3E" w:rsidRDefault="00341C3E">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41C3E" w:rsidRDefault="00341C3E">
      <w:pPr>
        <w:spacing w:after="0"/>
      </w:pPr>
      <w:r>
        <w:separator/>
      </w:r>
    </w:p>
  </w:footnote>
  <w:footnote w:type="continuationSeparator" w:id="1">
    <w:p w:rsidR="00341C3E" w:rsidRDefault="00341C3E">
      <w:pPr>
        <w:spacing w:after="0"/>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defaultTabStop w:val="708"/>
  <w:characterSpacingControl w:val="doNotCompress"/>
  <w:footnotePr>
    <w:footnote w:id="0"/>
    <w:footnote w:id="1"/>
  </w:footnotePr>
  <w:endnotePr>
    <w:endnote w:id="0"/>
    <w:endnote w:id="1"/>
  </w:endnotePr>
  <w:compat>
    <w:useFELayout/>
  </w:compat>
  <w:rsids>
    <w:rsidRoot w:val="00EA6CEE"/>
    <w:rsid w:val="00043A7E"/>
    <w:rsid w:val="000678F5"/>
    <w:rsid w:val="00097630"/>
    <w:rsid w:val="000C6701"/>
    <w:rsid w:val="00117E55"/>
    <w:rsid w:val="001844C1"/>
    <w:rsid w:val="001D58D9"/>
    <w:rsid w:val="002A3AD4"/>
    <w:rsid w:val="002D3E6C"/>
    <w:rsid w:val="002E714C"/>
    <w:rsid w:val="00304CD1"/>
    <w:rsid w:val="00341C3E"/>
    <w:rsid w:val="00370BCB"/>
    <w:rsid w:val="00371AD0"/>
    <w:rsid w:val="003E46D1"/>
    <w:rsid w:val="0042124B"/>
    <w:rsid w:val="00426BB7"/>
    <w:rsid w:val="004432F7"/>
    <w:rsid w:val="004630C6"/>
    <w:rsid w:val="004835D6"/>
    <w:rsid w:val="004B2157"/>
    <w:rsid w:val="0058044D"/>
    <w:rsid w:val="005C5649"/>
    <w:rsid w:val="005C6E84"/>
    <w:rsid w:val="006D629A"/>
    <w:rsid w:val="006E3FB1"/>
    <w:rsid w:val="006E41E0"/>
    <w:rsid w:val="006F7645"/>
    <w:rsid w:val="00707C54"/>
    <w:rsid w:val="0071404C"/>
    <w:rsid w:val="00714DE8"/>
    <w:rsid w:val="00721142"/>
    <w:rsid w:val="00745B88"/>
    <w:rsid w:val="00763F03"/>
    <w:rsid w:val="007D59BA"/>
    <w:rsid w:val="00827683"/>
    <w:rsid w:val="008624B9"/>
    <w:rsid w:val="008C6F08"/>
    <w:rsid w:val="008D1204"/>
    <w:rsid w:val="009441C8"/>
    <w:rsid w:val="009A327A"/>
    <w:rsid w:val="00A06436"/>
    <w:rsid w:val="00AE2B0F"/>
    <w:rsid w:val="00B16F37"/>
    <w:rsid w:val="00B44091"/>
    <w:rsid w:val="00B56B6D"/>
    <w:rsid w:val="00BA0D3B"/>
    <w:rsid w:val="00C12DE2"/>
    <w:rsid w:val="00C22815"/>
    <w:rsid w:val="00C256E1"/>
    <w:rsid w:val="00C42B0A"/>
    <w:rsid w:val="00CA190C"/>
    <w:rsid w:val="00CE0593"/>
    <w:rsid w:val="00D3688B"/>
    <w:rsid w:val="00E608A1"/>
    <w:rsid w:val="00EA6CEE"/>
    <w:rsid w:val="00EE1A84"/>
    <w:rsid w:val="00F14312"/>
    <w:rsid w:val="00F571B1"/>
    <w:rsid w:val="00F67FA8"/>
    <w:rsid w:val="00FA6BEA"/>
    <w:rsid w:val="00FB2EEF"/>
    <w:rsid w:val="019B6B2F"/>
    <w:rsid w:val="35E06A9F"/>
    <w:rsid w:val="605331E4"/>
    <w:rsid w:val="7340692E"/>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B2EEF"/>
    <w:pPr>
      <w:spacing w:after="200" w:line="276" w:lineRule="auto"/>
    </w:pPr>
    <w:rPr>
      <w:sz w:val="22"/>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footnote reference"/>
    <w:basedOn w:val="a0"/>
    <w:uiPriority w:val="99"/>
    <w:semiHidden/>
    <w:unhideWhenUsed/>
    <w:rsid w:val="00FB2EEF"/>
    <w:rPr>
      <w:vertAlign w:val="superscript"/>
    </w:rPr>
  </w:style>
  <w:style w:type="character" w:styleId="a4">
    <w:name w:val="Hyperlink"/>
    <w:basedOn w:val="a0"/>
    <w:uiPriority w:val="99"/>
    <w:unhideWhenUsed/>
    <w:qFormat/>
    <w:rsid w:val="00FB2EEF"/>
    <w:rPr>
      <w:color w:val="0000FF" w:themeColor="hyperlink"/>
      <w:u w:val="single"/>
    </w:rPr>
  </w:style>
  <w:style w:type="paragraph" w:styleId="a5">
    <w:name w:val="footnote text"/>
    <w:basedOn w:val="a"/>
    <w:link w:val="a6"/>
    <w:uiPriority w:val="99"/>
    <w:semiHidden/>
    <w:unhideWhenUsed/>
    <w:rsid w:val="00FB2EEF"/>
    <w:pPr>
      <w:spacing w:after="0" w:line="240" w:lineRule="auto"/>
    </w:pPr>
    <w:rPr>
      <w:sz w:val="20"/>
      <w:szCs w:val="20"/>
    </w:rPr>
  </w:style>
  <w:style w:type="character" w:customStyle="1" w:styleId="a6">
    <w:name w:val="Текст сноски Знак"/>
    <w:basedOn w:val="a0"/>
    <w:link w:val="a5"/>
    <w:uiPriority w:val="99"/>
    <w:semiHidden/>
    <w:rsid w:val="00FB2EEF"/>
    <w:rPr>
      <w:sz w:val="20"/>
      <w:szCs w:val="20"/>
    </w:rPr>
  </w:style>
  <w:style w:type="paragraph" w:styleId="a7">
    <w:name w:val="Balloon Text"/>
    <w:basedOn w:val="a"/>
    <w:link w:val="a8"/>
    <w:uiPriority w:val="99"/>
    <w:semiHidden/>
    <w:unhideWhenUsed/>
    <w:rsid w:val="00721142"/>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721142"/>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295139694">
      <w:bodyDiv w:val="1"/>
      <w:marLeft w:val="0"/>
      <w:marRight w:val="0"/>
      <w:marTop w:val="0"/>
      <w:marBottom w:val="0"/>
      <w:divBdr>
        <w:top w:val="none" w:sz="0" w:space="0" w:color="auto"/>
        <w:left w:val="none" w:sz="0" w:space="0" w:color="auto"/>
        <w:bottom w:val="none" w:sz="0" w:space="0" w:color="auto"/>
        <w:right w:val="none" w:sz="0" w:space="0" w:color="auto"/>
      </w:divBdr>
    </w:div>
    <w:div w:id="465586981">
      <w:bodyDiv w:val="1"/>
      <w:marLeft w:val="0"/>
      <w:marRight w:val="0"/>
      <w:marTop w:val="0"/>
      <w:marBottom w:val="0"/>
      <w:divBdr>
        <w:top w:val="none" w:sz="0" w:space="0" w:color="auto"/>
        <w:left w:val="none" w:sz="0" w:space="0" w:color="auto"/>
        <w:bottom w:val="none" w:sz="0" w:space="0" w:color="auto"/>
        <w:right w:val="none" w:sz="0" w:space="0" w:color="auto"/>
      </w:divBdr>
    </w:div>
    <w:div w:id="518546547">
      <w:bodyDiv w:val="1"/>
      <w:marLeft w:val="0"/>
      <w:marRight w:val="0"/>
      <w:marTop w:val="0"/>
      <w:marBottom w:val="0"/>
      <w:divBdr>
        <w:top w:val="none" w:sz="0" w:space="0" w:color="auto"/>
        <w:left w:val="none" w:sz="0" w:space="0" w:color="auto"/>
        <w:bottom w:val="none" w:sz="0" w:space="0" w:color="auto"/>
        <w:right w:val="none" w:sz="0" w:space="0" w:color="auto"/>
      </w:divBdr>
    </w:div>
    <w:div w:id="545139656">
      <w:bodyDiv w:val="1"/>
      <w:marLeft w:val="0"/>
      <w:marRight w:val="0"/>
      <w:marTop w:val="0"/>
      <w:marBottom w:val="0"/>
      <w:divBdr>
        <w:top w:val="none" w:sz="0" w:space="0" w:color="auto"/>
        <w:left w:val="none" w:sz="0" w:space="0" w:color="auto"/>
        <w:bottom w:val="none" w:sz="0" w:space="0" w:color="auto"/>
        <w:right w:val="none" w:sz="0" w:space="0" w:color="auto"/>
      </w:divBdr>
    </w:div>
    <w:div w:id="710685506">
      <w:bodyDiv w:val="1"/>
      <w:marLeft w:val="0"/>
      <w:marRight w:val="0"/>
      <w:marTop w:val="0"/>
      <w:marBottom w:val="0"/>
      <w:divBdr>
        <w:top w:val="none" w:sz="0" w:space="0" w:color="auto"/>
        <w:left w:val="none" w:sz="0" w:space="0" w:color="auto"/>
        <w:bottom w:val="none" w:sz="0" w:space="0" w:color="auto"/>
        <w:right w:val="none" w:sz="0" w:space="0" w:color="auto"/>
      </w:divBdr>
    </w:div>
    <w:div w:id="718213985">
      <w:bodyDiv w:val="1"/>
      <w:marLeft w:val="0"/>
      <w:marRight w:val="0"/>
      <w:marTop w:val="0"/>
      <w:marBottom w:val="0"/>
      <w:divBdr>
        <w:top w:val="none" w:sz="0" w:space="0" w:color="auto"/>
        <w:left w:val="none" w:sz="0" w:space="0" w:color="auto"/>
        <w:bottom w:val="none" w:sz="0" w:space="0" w:color="auto"/>
        <w:right w:val="none" w:sz="0" w:space="0" w:color="auto"/>
      </w:divBdr>
    </w:div>
    <w:div w:id="978267045">
      <w:bodyDiv w:val="1"/>
      <w:marLeft w:val="0"/>
      <w:marRight w:val="0"/>
      <w:marTop w:val="0"/>
      <w:marBottom w:val="0"/>
      <w:divBdr>
        <w:top w:val="none" w:sz="0" w:space="0" w:color="auto"/>
        <w:left w:val="none" w:sz="0" w:space="0" w:color="auto"/>
        <w:bottom w:val="none" w:sz="0" w:space="0" w:color="auto"/>
        <w:right w:val="none" w:sz="0" w:space="0" w:color="auto"/>
      </w:divBdr>
    </w:div>
    <w:div w:id="168081157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3" Type="http://schemas.openxmlformats.org/officeDocument/2006/relationships/settings" Target="settings.xml"/><Relationship Id="rId7" Type="http://schemas.openxmlformats.org/officeDocument/2006/relationships/image" Target="media/image1.emf"/><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CE829D7-A07B-4FE6-843D-CA95B212B5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11</Pages>
  <Words>2619</Words>
  <Characters>14932</Characters>
  <Application>Microsoft Office Word</Application>
  <DocSecurity>0</DocSecurity>
  <Lines>124</Lines>
  <Paragraphs>35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17516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 Windows</dc:creator>
  <cp:lastModifiedBy>Пользователь Windows</cp:lastModifiedBy>
  <cp:revision>4</cp:revision>
  <cp:lastPrinted>2025-09-30T04:00:00Z</cp:lastPrinted>
  <dcterms:created xsi:type="dcterms:W3CDTF">2025-10-01T10:22:00Z</dcterms:created>
  <dcterms:modified xsi:type="dcterms:W3CDTF">2025-10-01T11:19:00Z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1049-12.2.0.22549</vt:lpwstr>
  </property>
  <property fmtid="{D5CDD505-2E9C-101B-9397-08002B2CF9AE}" pid="3" name="ICV">
    <vt:lpwstr>F38C3A637C6A41B184F5D2628B9F789F_13</vt:lpwstr>
  </property>
</Properties>
</file>