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30F3B" w14:textId="1E43DD4E" w:rsidR="00F65247" w:rsidRPr="00F65247" w:rsidRDefault="00F65247" w:rsidP="00F65247">
      <w:pPr>
        <w:spacing w:after="0" w:line="360" w:lineRule="auto"/>
        <w:ind w:firstLine="567"/>
        <w:jc w:val="right"/>
        <w:rPr>
          <w:rFonts w:ascii="Times New Roman" w:hAnsi="Times New Roman" w:cs="Times New Roman"/>
          <w:sz w:val="28"/>
          <w:szCs w:val="28"/>
        </w:rPr>
      </w:pPr>
      <w:r w:rsidRPr="00F65247">
        <w:rPr>
          <w:rFonts w:ascii="Times New Roman" w:hAnsi="Times New Roman" w:cs="Times New Roman"/>
          <w:sz w:val="28"/>
          <w:szCs w:val="28"/>
        </w:rPr>
        <w:t>УДК 343.72</w:t>
      </w:r>
    </w:p>
    <w:p w14:paraId="6C7AEE06" w14:textId="6CE91121" w:rsidR="002162E4" w:rsidRPr="005326B2" w:rsidRDefault="005326B2" w:rsidP="00614F61">
      <w:pPr>
        <w:spacing w:after="0" w:line="360" w:lineRule="auto"/>
        <w:ind w:firstLine="567"/>
        <w:jc w:val="center"/>
        <w:rPr>
          <w:rFonts w:ascii="Times New Roman" w:hAnsi="Times New Roman" w:cs="Times New Roman"/>
          <w:b/>
          <w:bCs/>
          <w:sz w:val="28"/>
          <w:szCs w:val="28"/>
        </w:rPr>
      </w:pPr>
      <w:r w:rsidRPr="005326B2">
        <w:rPr>
          <w:rFonts w:ascii="Times New Roman" w:hAnsi="Times New Roman" w:cs="Times New Roman"/>
          <w:b/>
          <w:bCs/>
          <w:sz w:val="28"/>
          <w:szCs w:val="28"/>
        </w:rPr>
        <w:t>ЦИФРОВОЕ МОШЕННИЧЕСТВО В РОССИЙСКОЙ ФЕДЕРАЦИИ</w:t>
      </w:r>
    </w:p>
    <w:p w14:paraId="49A55D9A" w14:textId="78B21414" w:rsidR="00C55514" w:rsidRPr="005326B2" w:rsidRDefault="005326B2" w:rsidP="00C55514">
      <w:pPr>
        <w:spacing w:after="0" w:line="360" w:lineRule="auto"/>
        <w:ind w:firstLine="567"/>
        <w:jc w:val="center"/>
        <w:rPr>
          <w:rFonts w:ascii="Times New Roman" w:hAnsi="Times New Roman" w:cs="Times New Roman"/>
          <w:b/>
          <w:bCs/>
          <w:sz w:val="28"/>
          <w:szCs w:val="28"/>
        </w:rPr>
      </w:pPr>
      <w:r w:rsidRPr="005326B2">
        <w:rPr>
          <w:rFonts w:ascii="Times New Roman" w:hAnsi="Times New Roman" w:cs="Times New Roman"/>
          <w:b/>
          <w:bCs/>
          <w:sz w:val="28"/>
          <w:szCs w:val="28"/>
        </w:rPr>
        <w:t>DIGITAL FRAUD IN THE RUSSIAN FEDERATION</w:t>
      </w:r>
    </w:p>
    <w:p w14:paraId="6804C34C" w14:textId="77777777" w:rsidR="00C55514" w:rsidRPr="00C55514" w:rsidRDefault="00C55514" w:rsidP="00C55514">
      <w:pPr>
        <w:spacing w:after="0" w:line="360" w:lineRule="auto"/>
        <w:ind w:firstLine="567"/>
        <w:jc w:val="right"/>
        <w:rPr>
          <w:rFonts w:ascii="Times New Roman" w:hAnsi="Times New Roman" w:cs="Times New Roman"/>
          <w:b/>
          <w:bCs/>
          <w:sz w:val="28"/>
          <w:szCs w:val="28"/>
        </w:rPr>
      </w:pPr>
      <w:r w:rsidRPr="00C55514">
        <w:rPr>
          <w:rFonts w:ascii="Times New Roman" w:hAnsi="Times New Roman" w:cs="Times New Roman"/>
          <w:b/>
          <w:bCs/>
          <w:sz w:val="28"/>
          <w:szCs w:val="28"/>
        </w:rPr>
        <w:t>ВАМПИЛОВА АРЮНА ДАМДИНОВНА</w:t>
      </w:r>
    </w:p>
    <w:p w14:paraId="19C51919" w14:textId="03DA3824" w:rsidR="00C55514" w:rsidRPr="00C55514" w:rsidRDefault="00C55514" w:rsidP="00C55514">
      <w:pPr>
        <w:spacing w:after="0" w:line="360" w:lineRule="auto"/>
        <w:ind w:firstLine="567"/>
        <w:jc w:val="right"/>
        <w:rPr>
          <w:rFonts w:ascii="Times New Roman" w:hAnsi="Times New Roman" w:cs="Times New Roman"/>
          <w:i/>
          <w:iCs/>
          <w:sz w:val="28"/>
          <w:szCs w:val="28"/>
        </w:rPr>
      </w:pPr>
      <w:r w:rsidRPr="00C55514">
        <w:rPr>
          <w:rFonts w:ascii="Times New Roman" w:hAnsi="Times New Roman" w:cs="Times New Roman"/>
          <w:i/>
          <w:iCs/>
          <w:sz w:val="28"/>
          <w:szCs w:val="28"/>
        </w:rPr>
        <w:t>Студент</w:t>
      </w:r>
      <w:r>
        <w:rPr>
          <w:rFonts w:ascii="Times New Roman" w:hAnsi="Times New Roman" w:cs="Times New Roman"/>
          <w:i/>
          <w:iCs/>
          <w:sz w:val="28"/>
          <w:szCs w:val="28"/>
        </w:rPr>
        <w:t xml:space="preserve"> 3</w:t>
      </w:r>
      <w:r w:rsidRPr="00C55514">
        <w:rPr>
          <w:rFonts w:ascii="Times New Roman" w:hAnsi="Times New Roman" w:cs="Times New Roman"/>
          <w:i/>
          <w:iCs/>
          <w:sz w:val="28"/>
          <w:szCs w:val="28"/>
        </w:rPr>
        <w:t>-го курса, кафедра прикладной экономики</w:t>
      </w:r>
    </w:p>
    <w:p w14:paraId="3960896F" w14:textId="77777777" w:rsidR="00C55514" w:rsidRPr="00C55514" w:rsidRDefault="00C55514" w:rsidP="00C55514">
      <w:pPr>
        <w:spacing w:after="0" w:line="360" w:lineRule="auto"/>
        <w:ind w:firstLine="567"/>
        <w:jc w:val="right"/>
        <w:rPr>
          <w:rFonts w:ascii="Times New Roman" w:hAnsi="Times New Roman" w:cs="Times New Roman"/>
          <w:i/>
          <w:iCs/>
          <w:sz w:val="28"/>
          <w:szCs w:val="28"/>
        </w:rPr>
      </w:pPr>
      <w:r w:rsidRPr="00C55514">
        <w:rPr>
          <w:rFonts w:ascii="Times New Roman" w:hAnsi="Times New Roman" w:cs="Times New Roman"/>
          <w:i/>
          <w:iCs/>
          <w:sz w:val="28"/>
          <w:szCs w:val="28"/>
        </w:rPr>
        <w:t xml:space="preserve">Бурятский государственный университет имени </w:t>
      </w:r>
      <w:proofErr w:type="spellStart"/>
      <w:r w:rsidRPr="00C55514">
        <w:rPr>
          <w:rFonts w:ascii="Times New Roman" w:hAnsi="Times New Roman" w:cs="Times New Roman"/>
          <w:i/>
          <w:iCs/>
          <w:sz w:val="28"/>
          <w:szCs w:val="28"/>
        </w:rPr>
        <w:t>Доржи</w:t>
      </w:r>
      <w:proofErr w:type="spellEnd"/>
      <w:r w:rsidRPr="00C55514">
        <w:rPr>
          <w:rFonts w:ascii="Times New Roman" w:hAnsi="Times New Roman" w:cs="Times New Roman"/>
          <w:i/>
          <w:iCs/>
          <w:sz w:val="28"/>
          <w:szCs w:val="28"/>
        </w:rPr>
        <w:t xml:space="preserve"> Банзарова</w:t>
      </w:r>
    </w:p>
    <w:p w14:paraId="47852763" w14:textId="77777777" w:rsidR="00C55514" w:rsidRPr="00C55514" w:rsidRDefault="00C55514" w:rsidP="00C55514">
      <w:pPr>
        <w:spacing w:after="0" w:line="360" w:lineRule="auto"/>
        <w:ind w:firstLine="567"/>
        <w:jc w:val="right"/>
        <w:rPr>
          <w:rFonts w:ascii="Times New Roman" w:hAnsi="Times New Roman" w:cs="Times New Roman"/>
          <w:b/>
          <w:bCs/>
          <w:sz w:val="28"/>
          <w:szCs w:val="28"/>
          <w:lang w:val="en-US"/>
        </w:rPr>
      </w:pPr>
      <w:r w:rsidRPr="00C55514">
        <w:rPr>
          <w:rFonts w:ascii="Times New Roman" w:hAnsi="Times New Roman" w:cs="Times New Roman"/>
          <w:b/>
          <w:bCs/>
          <w:sz w:val="28"/>
          <w:szCs w:val="28"/>
          <w:lang w:val="en-US"/>
        </w:rPr>
        <w:t>VAMPILOVA ARYUNA DAMDINOVNA</w:t>
      </w:r>
    </w:p>
    <w:p w14:paraId="5A44E66B" w14:textId="4AA0D32B" w:rsidR="00C55514" w:rsidRPr="00C55514" w:rsidRDefault="00C55514" w:rsidP="00C55514">
      <w:pPr>
        <w:spacing w:after="0" w:line="360" w:lineRule="auto"/>
        <w:ind w:firstLine="567"/>
        <w:jc w:val="right"/>
        <w:rPr>
          <w:rFonts w:ascii="Times New Roman" w:hAnsi="Times New Roman" w:cs="Times New Roman"/>
          <w:i/>
          <w:iCs/>
          <w:sz w:val="28"/>
          <w:szCs w:val="28"/>
          <w:lang w:val="en-US"/>
        </w:rPr>
      </w:pPr>
      <w:r w:rsidRPr="00C55514">
        <w:rPr>
          <w:rFonts w:ascii="Times New Roman" w:hAnsi="Times New Roman" w:cs="Times New Roman"/>
          <w:i/>
          <w:iCs/>
          <w:sz w:val="28"/>
          <w:szCs w:val="28"/>
          <w:lang w:val="en-US"/>
        </w:rPr>
        <w:t>Student of the 3nd year, Department of Applied Economics</w:t>
      </w:r>
    </w:p>
    <w:p w14:paraId="20486E77" w14:textId="77777777" w:rsidR="00C55514" w:rsidRPr="00C55514" w:rsidRDefault="00C55514" w:rsidP="00C55514">
      <w:pPr>
        <w:spacing w:after="0" w:line="360" w:lineRule="auto"/>
        <w:ind w:firstLine="567"/>
        <w:jc w:val="right"/>
        <w:rPr>
          <w:rFonts w:ascii="Times New Roman" w:hAnsi="Times New Roman" w:cs="Times New Roman"/>
          <w:i/>
          <w:iCs/>
          <w:sz w:val="28"/>
          <w:szCs w:val="28"/>
        </w:rPr>
      </w:pPr>
      <w:proofErr w:type="spellStart"/>
      <w:r w:rsidRPr="00C55514">
        <w:rPr>
          <w:rFonts w:ascii="Times New Roman" w:hAnsi="Times New Roman" w:cs="Times New Roman"/>
          <w:i/>
          <w:iCs/>
          <w:sz w:val="28"/>
          <w:szCs w:val="28"/>
        </w:rPr>
        <w:t>Buryat</w:t>
      </w:r>
      <w:proofErr w:type="spellEnd"/>
      <w:r w:rsidRPr="00C55514">
        <w:rPr>
          <w:rFonts w:ascii="Times New Roman" w:hAnsi="Times New Roman" w:cs="Times New Roman"/>
          <w:i/>
          <w:iCs/>
          <w:sz w:val="28"/>
          <w:szCs w:val="28"/>
        </w:rPr>
        <w:t xml:space="preserve"> </w:t>
      </w:r>
      <w:proofErr w:type="spellStart"/>
      <w:r w:rsidRPr="00C55514">
        <w:rPr>
          <w:rFonts w:ascii="Times New Roman" w:hAnsi="Times New Roman" w:cs="Times New Roman"/>
          <w:i/>
          <w:iCs/>
          <w:sz w:val="28"/>
          <w:szCs w:val="28"/>
        </w:rPr>
        <w:t>State</w:t>
      </w:r>
      <w:proofErr w:type="spellEnd"/>
      <w:r w:rsidRPr="00C55514">
        <w:rPr>
          <w:rFonts w:ascii="Times New Roman" w:hAnsi="Times New Roman" w:cs="Times New Roman"/>
          <w:i/>
          <w:iCs/>
          <w:sz w:val="28"/>
          <w:szCs w:val="28"/>
        </w:rPr>
        <w:t xml:space="preserve"> </w:t>
      </w:r>
      <w:proofErr w:type="spellStart"/>
      <w:r w:rsidRPr="00C55514">
        <w:rPr>
          <w:rFonts w:ascii="Times New Roman" w:hAnsi="Times New Roman" w:cs="Times New Roman"/>
          <w:i/>
          <w:iCs/>
          <w:sz w:val="28"/>
          <w:szCs w:val="28"/>
        </w:rPr>
        <w:t>University</w:t>
      </w:r>
      <w:proofErr w:type="spellEnd"/>
    </w:p>
    <w:p w14:paraId="15C28BAC" w14:textId="0AD2FF2D" w:rsidR="00C55514" w:rsidRPr="00C55514" w:rsidRDefault="00C55514" w:rsidP="00C55514">
      <w:pPr>
        <w:spacing w:after="0" w:line="360" w:lineRule="auto"/>
        <w:ind w:firstLine="567"/>
        <w:jc w:val="right"/>
        <w:rPr>
          <w:rFonts w:ascii="Times New Roman" w:hAnsi="Times New Roman" w:cs="Times New Roman"/>
          <w:b/>
          <w:bCs/>
          <w:sz w:val="28"/>
          <w:szCs w:val="28"/>
        </w:rPr>
      </w:pPr>
      <w:r w:rsidRPr="00C55514">
        <w:rPr>
          <w:rFonts w:ascii="Times New Roman" w:hAnsi="Times New Roman" w:cs="Times New Roman"/>
          <w:b/>
          <w:bCs/>
          <w:sz w:val="28"/>
          <w:szCs w:val="28"/>
        </w:rPr>
        <w:t>БРЫКОВА СВЕТЛАНА СЕРГЕЕВНА</w:t>
      </w:r>
    </w:p>
    <w:p w14:paraId="6375010D" w14:textId="77777777" w:rsidR="00C55514" w:rsidRPr="00C55514" w:rsidRDefault="00C55514" w:rsidP="00C55514">
      <w:pPr>
        <w:spacing w:after="0" w:line="360" w:lineRule="auto"/>
        <w:ind w:firstLine="567"/>
        <w:jc w:val="right"/>
        <w:rPr>
          <w:rFonts w:ascii="Times New Roman" w:hAnsi="Times New Roman" w:cs="Times New Roman"/>
          <w:i/>
          <w:iCs/>
          <w:sz w:val="28"/>
          <w:szCs w:val="28"/>
        </w:rPr>
      </w:pPr>
      <w:r w:rsidRPr="00C55514">
        <w:rPr>
          <w:rFonts w:ascii="Times New Roman" w:hAnsi="Times New Roman" w:cs="Times New Roman"/>
          <w:i/>
          <w:iCs/>
          <w:sz w:val="28"/>
          <w:szCs w:val="28"/>
        </w:rPr>
        <w:t>Научный руководитель</w:t>
      </w:r>
    </w:p>
    <w:p w14:paraId="1AB63913" w14:textId="77777777" w:rsidR="00C55514" w:rsidRPr="00C55514" w:rsidRDefault="00C55514" w:rsidP="00C55514">
      <w:pPr>
        <w:spacing w:after="0" w:line="360" w:lineRule="auto"/>
        <w:ind w:firstLine="567"/>
        <w:jc w:val="right"/>
        <w:rPr>
          <w:rFonts w:ascii="Times New Roman" w:hAnsi="Times New Roman" w:cs="Times New Roman"/>
          <w:i/>
          <w:iCs/>
          <w:sz w:val="28"/>
          <w:szCs w:val="28"/>
        </w:rPr>
      </w:pPr>
      <w:r w:rsidRPr="00C55514">
        <w:rPr>
          <w:rFonts w:ascii="Times New Roman" w:hAnsi="Times New Roman" w:cs="Times New Roman"/>
          <w:i/>
          <w:iCs/>
          <w:sz w:val="28"/>
          <w:szCs w:val="28"/>
        </w:rPr>
        <w:t xml:space="preserve">Бурятский государственный университет имени </w:t>
      </w:r>
      <w:proofErr w:type="spellStart"/>
      <w:r w:rsidRPr="00C55514">
        <w:rPr>
          <w:rFonts w:ascii="Times New Roman" w:hAnsi="Times New Roman" w:cs="Times New Roman"/>
          <w:i/>
          <w:iCs/>
          <w:sz w:val="28"/>
          <w:szCs w:val="28"/>
        </w:rPr>
        <w:t>Доржи</w:t>
      </w:r>
      <w:proofErr w:type="spellEnd"/>
      <w:r w:rsidRPr="00C55514">
        <w:rPr>
          <w:rFonts w:ascii="Times New Roman" w:hAnsi="Times New Roman" w:cs="Times New Roman"/>
          <w:i/>
          <w:iCs/>
          <w:sz w:val="28"/>
          <w:szCs w:val="28"/>
        </w:rPr>
        <w:t xml:space="preserve"> Банзарова</w:t>
      </w:r>
    </w:p>
    <w:p w14:paraId="5BB85036" w14:textId="58B0CE30" w:rsidR="00C55514" w:rsidRPr="00C55514" w:rsidRDefault="00C55514" w:rsidP="00C55514">
      <w:pPr>
        <w:spacing w:after="0" w:line="360" w:lineRule="auto"/>
        <w:ind w:firstLine="567"/>
        <w:jc w:val="right"/>
        <w:rPr>
          <w:rFonts w:ascii="Times New Roman" w:hAnsi="Times New Roman" w:cs="Times New Roman"/>
          <w:b/>
          <w:bCs/>
          <w:sz w:val="28"/>
          <w:szCs w:val="28"/>
          <w:lang w:val="en-US"/>
        </w:rPr>
      </w:pPr>
      <w:r w:rsidRPr="00C55514">
        <w:rPr>
          <w:rFonts w:ascii="Times New Roman" w:hAnsi="Times New Roman" w:cs="Times New Roman"/>
          <w:b/>
          <w:bCs/>
          <w:sz w:val="28"/>
          <w:szCs w:val="28"/>
          <w:lang w:val="en-US"/>
        </w:rPr>
        <w:t>BRYKOVA SVETLANA SERGEEVNA</w:t>
      </w:r>
    </w:p>
    <w:p w14:paraId="48EA1E4E" w14:textId="77777777" w:rsidR="00C55514" w:rsidRPr="00C55514" w:rsidRDefault="00C55514" w:rsidP="00C55514">
      <w:pPr>
        <w:spacing w:after="0" w:line="360" w:lineRule="auto"/>
        <w:ind w:firstLine="567"/>
        <w:jc w:val="right"/>
        <w:rPr>
          <w:rFonts w:ascii="Times New Roman" w:hAnsi="Times New Roman" w:cs="Times New Roman"/>
          <w:i/>
          <w:iCs/>
          <w:sz w:val="28"/>
          <w:szCs w:val="28"/>
          <w:lang w:val="en-US"/>
        </w:rPr>
      </w:pPr>
      <w:r w:rsidRPr="00C55514">
        <w:rPr>
          <w:rFonts w:ascii="Times New Roman" w:hAnsi="Times New Roman" w:cs="Times New Roman"/>
          <w:i/>
          <w:iCs/>
          <w:sz w:val="28"/>
          <w:szCs w:val="28"/>
          <w:lang w:val="en-US"/>
        </w:rPr>
        <w:t>Scientific supervisor</w:t>
      </w:r>
    </w:p>
    <w:p w14:paraId="02A7DB73" w14:textId="58996562" w:rsidR="004F719F" w:rsidRPr="00F65247" w:rsidRDefault="00C55514" w:rsidP="00C55514">
      <w:pPr>
        <w:spacing w:after="0" w:line="360" w:lineRule="auto"/>
        <w:ind w:firstLine="567"/>
        <w:jc w:val="right"/>
        <w:rPr>
          <w:rFonts w:ascii="Times New Roman" w:hAnsi="Times New Roman" w:cs="Times New Roman"/>
          <w:i/>
          <w:iCs/>
          <w:sz w:val="28"/>
          <w:szCs w:val="28"/>
          <w:lang w:val="en-US"/>
        </w:rPr>
      </w:pPr>
      <w:r w:rsidRPr="00C55514">
        <w:rPr>
          <w:rFonts w:ascii="Times New Roman" w:hAnsi="Times New Roman" w:cs="Times New Roman"/>
          <w:i/>
          <w:iCs/>
          <w:sz w:val="28"/>
          <w:szCs w:val="28"/>
          <w:lang w:val="en-US"/>
        </w:rPr>
        <w:t>Buryat State University</w:t>
      </w:r>
    </w:p>
    <w:p w14:paraId="6FA154C7" w14:textId="04FF52D1" w:rsidR="00E35E5B" w:rsidRPr="00E35E5B" w:rsidRDefault="00E35E5B" w:rsidP="00E35E5B">
      <w:pPr>
        <w:spacing w:after="0" w:line="360" w:lineRule="auto"/>
        <w:ind w:firstLine="567"/>
        <w:jc w:val="both"/>
        <w:rPr>
          <w:rFonts w:ascii="Times New Roman" w:hAnsi="Times New Roman" w:cs="Times New Roman"/>
          <w:i/>
          <w:iCs/>
          <w:sz w:val="28"/>
          <w:szCs w:val="28"/>
        </w:rPr>
      </w:pPr>
      <w:r w:rsidRPr="00E35E5B">
        <w:rPr>
          <w:rFonts w:ascii="Times New Roman" w:hAnsi="Times New Roman" w:cs="Times New Roman"/>
          <w:i/>
          <w:iCs/>
          <w:sz w:val="28"/>
          <w:szCs w:val="28"/>
        </w:rPr>
        <w:t xml:space="preserve">Аннотация. </w:t>
      </w:r>
      <w:r>
        <w:rPr>
          <w:rFonts w:ascii="Times New Roman" w:hAnsi="Times New Roman" w:cs="Times New Roman"/>
          <w:i/>
          <w:iCs/>
          <w:sz w:val="28"/>
          <w:szCs w:val="28"/>
        </w:rPr>
        <w:t xml:space="preserve">Современные цифровые технологии значительно упростили доступ граждан к финансовым услугам, однако одновременно стали основой для появления новых угроз. В статье рассматривается актуальная проблема цифрового мошенничества в России. На основе статистических данных Центрального Банка выявлены тенденции роста объема операций без согласия клиентов. Рассматриваются современные мошеннические схемы, включая использование поддельных аккаунтов, фишинговых сайтов и дипфейк-технологий. Особое внимание уделяется портрету пострадавших, среди которых преобладают активные пользователи банковских услуг трудоспособного возраста. Рассмотрены меры предотвращения киберугроз и усиление защиты клиентов банка. В заключение даны основные рекомендации гражданам для усиления защиты денежных средств и личных данных. </w:t>
      </w:r>
    </w:p>
    <w:p w14:paraId="4534130C" w14:textId="2F4032BD" w:rsidR="00E35E5B" w:rsidRPr="00E35E5B" w:rsidRDefault="00E35E5B" w:rsidP="00E35E5B">
      <w:pPr>
        <w:spacing w:after="0" w:line="360" w:lineRule="auto"/>
        <w:ind w:firstLine="567"/>
        <w:jc w:val="both"/>
        <w:rPr>
          <w:rFonts w:ascii="Times New Roman" w:hAnsi="Times New Roman" w:cs="Times New Roman"/>
          <w:i/>
          <w:iCs/>
          <w:sz w:val="28"/>
          <w:szCs w:val="28"/>
          <w:lang w:val="en-US"/>
        </w:rPr>
      </w:pPr>
      <w:r w:rsidRPr="00E35E5B">
        <w:rPr>
          <w:rFonts w:ascii="Times New Roman" w:hAnsi="Times New Roman" w:cs="Times New Roman"/>
          <w:i/>
          <w:iCs/>
          <w:sz w:val="28"/>
          <w:szCs w:val="28"/>
          <w:lang w:val="en-US"/>
        </w:rPr>
        <w:t>Abstract</w:t>
      </w:r>
      <w:r w:rsidRPr="00F65247">
        <w:rPr>
          <w:rFonts w:ascii="Times New Roman" w:hAnsi="Times New Roman" w:cs="Times New Roman"/>
          <w:i/>
          <w:iCs/>
          <w:sz w:val="28"/>
          <w:szCs w:val="28"/>
          <w:lang w:val="en-US"/>
        </w:rPr>
        <w:t xml:space="preserve">. </w:t>
      </w:r>
      <w:r w:rsidR="005326B2" w:rsidRPr="005326B2">
        <w:rPr>
          <w:rFonts w:ascii="Times New Roman" w:hAnsi="Times New Roman" w:cs="Times New Roman"/>
          <w:i/>
          <w:iCs/>
          <w:sz w:val="28"/>
          <w:szCs w:val="28"/>
          <w:lang w:val="en-US"/>
        </w:rPr>
        <w:t xml:space="preserve">Modern digital technologies have significantly simplified citizens' access to financial services, but they have also become the basis for new threats. This article explores the current issue of digital fraud in Russia. Based on statistical data from the Central Bank, it identifies trends in the growth of unauthorized transactions. </w:t>
      </w:r>
      <w:r w:rsidR="005326B2" w:rsidRPr="005326B2">
        <w:rPr>
          <w:rFonts w:ascii="Times New Roman" w:hAnsi="Times New Roman" w:cs="Times New Roman"/>
          <w:i/>
          <w:iCs/>
          <w:sz w:val="28"/>
          <w:szCs w:val="28"/>
          <w:lang w:val="en-US"/>
        </w:rPr>
        <w:lastRenderedPageBreak/>
        <w:t>The article examines modern fraudulent schemes, including the use of fake accounts, phishing websites, and deepfake technologies. Special attention is given to the profile of victims, who are predominantly active users of banking services in their working age. The article also discusses measures to prevent cyber threats and enhance the protection of bank customers. In conclusion, the article provides basic recommendations for citizens to enhance the protection of their money and personal data.</w:t>
      </w:r>
    </w:p>
    <w:p w14:paraId="79CB9955" w14:textId="12ED528A" w:rsidR="00E35E5B" w:rsidRPr="00E35E5B" w:rsidRDefault="00E35E5B" w:rsidP="00E35E5B">
      <w:pPr>
        <w:spacing w:after="0" w:line="360" w:lineRule="auto"/>
        <w:ind w:firstLine="567"/>
        <w:jc w:val="both"/>
        <w:rPr>
          <w:rFonts w:ascii="Times New Roman" w:hAnsi="Times New Roman" w:cs="Times New Roman"/>
          <w:b/>
          <w:bCs/>
          <w:i/>
          <w:iCs/>
          <w:sz w:val="28"/>
          <w:szCs w:val="28"/>
        </w:rPr>
      </w:pPr>
      <w:r w:rsidRPr="00E35E5B">
        <w:rPr>
          <w:rFonts w:ascii="Times New Roman" w:hAnsi="Times New Roman" w:cs="Times New Roman"/>
          <w:b/>
          <w:bCs/>
          <w:i/>
          <w:iCs/>
          <w:sz w:val="28"/>
          <w:szCs w:val="28"/>
        </w:rPr>
        <w:t xml:space="preserve">Ключевые слова: </w:t>
      </w:r>
      <w:r w:rsidR="005326B2" w:rsidRPr="005326B2">
        <w:rPr>
          <w:rFonts w:ascii="Times New Roman" w:hAnsi="Times New Roman" w:cs="Times New Roman"/>
          <w:i/>
          <w:iCs/>
          <w:sz w:val="28"/>
          <w:szCs w:val="28"/>
        </w:rPr>
        <w:t>цифровое мошенничество, мошенничество, безопасность, Центральный Банк, кибермошенничество.</w:t>
      </w:r>
    </w:p>
    <w:p w14:paraId="03129009" w14:textId="343FC2AD" w:rsidR="00E35E5B" w:rsidRPr="005326B2" w:rsidRDefault="00E35E5B" w:rsidP="00E35E5B">
      <w:pPr>
        <w:spacing w:after="0" w:line="360" w:lineRule="auto"/>
        <w:ind w:firstLine="567"/>
        <w:jc w:val="both"/>
        <w:rPr>
          <w:rFonts w:ascii="Times New Roman" w:hAnsi="Times New Roman" w:cs="Times New Roman"/>
          <w:b/>
          <w:bCs/>
          <w:i/>
          <w:iCs/>
          <w:sz w:val="28"/>
          <w:szCs w:val="28"/>
          <w:lang w:val="en-US"/>
        </w:rPr>
      </w:pPr>
      <w:r w:rsidRPr="00E35E5B">
        <w:rPr>
          <w:rFonts w:ascii="Times New Roman" w:hAnsi="Times New Roman" w:cs="Times New Roman"/>
          <w:b/>
          <w:bCs/>
          <w:i/>
          <w:iCs/>
          <w:sz w:val="28"/>
          <w:szCs w:val="28"/>
          <w:lang w:val="en-US"/>
        </w:rPr>
        <w:t>Key words:</w:t>
      </w:r>
      <w:r w:rsidR="005326B2" w:rsidRPr="005326B2">
        <w:rPr>
          <w:rFonts w:ascii="Times New Roman" w:hAnsi="Times New Roman" w:cs="Times New Roman"/>
          <w:b/>
          <w:bCs/>
          <w:i/>
          <w:iCs/>
          <w:sz w:val="28"/>
          <w:szCs w:val="28"/>
          <w:lang w:val="en-US"/>
        </w:rPr>
        <w:t xml:space="preserve"> </w:t>
      </w:r>
      <w:r w:rsidR="005326B2" w:rsidRPr="005326B2">
        <w:rPr>
          <w:rFonts w:ascii="Times New Roman" w:hAnsi="Times New Roman" w:cs="Times New Roman"/>
          <w:i/>
          <w:iCs/>
          <w:sz w:val="28"/>
          <w:szCs w:val="28"/>
          <w:lang w:val="en-US"/>
        </w:rPr>
        <w:t>digital fraud, fraud, security, Central Bank, cyber fraud.</w:t>
      </w:r>
    </w:p>
    <w:p w14:paraId="666442DD" w14:textId="05006CEB" w:rsidR="00F63A50" w:rsidRDefault="00C55514" w:rsidP="00313174">
      <w:pPr>
        <w:tabs>
          <w:tab w:val="left" w:pos="2767"/>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Цифровое мошенничество является одной из наиболее острой проблемой на сегодняшний день. Цифровое мошенничество стремительно развивается, приобретая разнообразные формы – от телефонных звонков и фишинговых атак до применения искусственного интеллекта и дипфейк-технологий. Ущерб от подобных преступлений ежегодно растет, затрагивая все слои населения. Важно отметить, что мошенники активно используют психологические методы воздействия, создавая ощущение срочности и опасности.  </w:t>
      </w:r>
    </w:p>
    <w:p w14:paraId="3B617CDA" w14:textId="20FF80E4" w:rsidR="00C55514" w:rsidRDefault="00C55514" w:rsidP="00313174">
      <w:pPr>
        <w:tabs>
          <w:tab w:val="left" w:pos="2767"/>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Центральный Банк России каждый квартал опубликовывает статистику операций без добровольного согласия клиентов. </w:t>
      </w:r>
    </w:p>
    <w:p w14:paraId="2CB51A3B" w14:textId="04CB59F9" w:rsidR="00313174" w:rsidRDefault="00313174" w:rsidP="006652F6">
      <w:pPr>
        <w:tabs>
          <w:tab w:val="left" w:pos="2767"/>
        </w:tabs>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 xml:space="preserve">Таблица </w:t>
      </w:r>
      <w:r w:rsidR="00614F61">
        <w:rPr>
          <w:rFonts w:ascii="Times New Roman" w:hAnsi="Times New Roman" w:cs="Times New Roman"/>
          <w:sz w:val="28"/>
          <w:szCs w:val="28"/>
        </w:rPr>
        <w:t>1</w:t>
      </w:r>
    </w:p>
    <w:p w14:paraId="45DA6CA0" w14:textId="06A0EFF3" w:rsidR="00313174" w:rsidRPr="005326B2" w:rsidRDefault="00313174" w:rsidP="00614F61">
      <w:pPr>
        <w:tabs>
          <w:tab w:val="left" w:pos="2767"/>
        </w:tabs>
        <w:spacing w:after="0" w:line="360" w:lineRule="auto"/>
        <w:ind w:firstLine="567"/>
        <w:jc w:val="center"/>
        <w:rPr>
          <w:rFonts w:ascii="Times New Roman" w:hAnsi="Times New Roman" w:cs="Times New Roman"/>
          <w:sz w:val="28"/>
          <w:szCs w:val="28"/>
        </w:rPr>
      </w:pPr>
      <w:r>
        <w:rPr>
          <w:rFonts w:ascii="Times New Roman" w:hAnsi="Times New Roman" w:cs="Times New Roman"/>
          <w:sz w:val="28"/>
          <w:szCs w:val="28"/>
        </w:rPr>
        <w:t>Операции без добровольного согласия клиентов (ОБДС)</w:t>
      </w:r>
      <w:r w:rsidR="005326B2">
        <w:rPr>
          <w:rFonts w:ascii="Times New Roman" w:hAnsi="Times New Roman" w:cs="Times New Roman"/>
          <w:sz w:val="28"/>
          <w:szCs w:val="28"/>
        </w:rPr>
        <w:t xml:space="preserve"> </w:t>
      </w:r>
      <w:r w:rsidR="005326B2" w:rsidRPr="005326B2">
        <w:rPr>
          <w:rFonts w:ascii="Times New Roman" w:hAnsi="Times New Roman" w:cs="Times New Roman"/>
          <w:sz w:val="28"/>
          <w:szCs w:val="28"/>
        </w:rPr>
        <w:t>[</w:t>
      </w:r>
      <w:r w:rsidR="005326B2">
        <w:rPr>
          <w:rFonts w:ascii="Times New Roman" w:hAnsi="Times New Roman" w:cs="Times New Roman"/>
          <w:sz w:val="28"/>
          <w:szCs w:val="28"/>
        </w:rPr>
        <w:fldChar w:fldCharType="begin"/>
      </w:r>
      <w:r w:rsidR="005326B2">
        <w:rPr>
          <w:rFonts w:ascii="Times New Roman" w:hAnsi="Times New Roman" w:cs="Times New Roman"/>
          <w:sz w:val="28"/>
          <w:szCs w:val="28"/>
        </w:rPr>
        <w:instrText xml:space="preserve"> REF _Ref209375754 \r \h </w:instrText>
      </w:r>
      <w:r w:rsidR="005326B2">
        <w:rPr>
          <w:rFonts w:ascii="Times New Roman" w:hAnsi="Times New Roman" w:cs="Times New Roman"/>
          <w:sz w:val="28"/>
          <w:szCs w:val="28"/>
        </w:rPr>
      </w:r>
      <w:r w:rsidR="005326B2">
        <w:rPr>
          <w:rFonts w:ascii="Times New Roman" w:hAnsi="Times New Roman" w:cs="Times New Roman"/>
          <w:sz w:val="28"/>
          <w:szCs w:val="28"/>
        </w:rPr>
        <w:fldChar w:fldCharType="separate"/>
      </w:r>
      <w:r w:rsidR="005326B2">
        <w:rPr>
          <w:rFonts w:ascii="Times New Roman" w:hAnsi="Times New Roman" w:cs="Times New Roman"/>
          <w:sz w:val="28"/>
          <w:szCs w:val="28"/>
        </w:rPr>
        <w:t>9</w:t>
      </w:r>
      <w:r w:rsidR="005326B2">
        <w:rPr>
          <w:rFonts w:ascii="Times New Roman" w:hAnsi="Times New Roman" w:cs="Times New Roman"/>
          <w:sz w:val="28"/>
          <w:szCs w:val="28"/>
        </w:rPr>
        <w:fldChar w:fldCharType="end"/>
      </w:r>
      <w:r w:rsidR="005326B2" w:rsidRPr="005326B2">
        <w:rPr>
          <w:rFonts w:ascii="Times New Roman" w:hAnsi="Times New Roman" w:cs="Times New Roman"/>
          <w:sz w:val="28"/>
          <w:szCs w:val="28"/>
        </w:rPr>
        <w:t>]</w:t>
      </w:r>
    </w:p>
    <w:tbl>
      <w:tblPr>
        <w:tblStyle w:val="ac"/>
        <w:tblW w:w="0" w:type="auto"/>
        <w:tblLook w:val="04A0" w:firstRow="1" w:lastRow="0" w:firstColumn="1" w:lastColumn="0" w:noHBand="0" w:noVBand="1"/>
      </w:tblPr>
      <w:tblGrid>
        <w:gridCol w:w="3209"/>
        <w:gridCol w:w="3209"/>
        <w:gridCol w:w="3210"/>
      </w:tblGrid>
      <w:tr w:rsidR="00313174" w14:paraId="03E5DD60" w14:textId="77777777" w:rsidTr="00313174">
        <w:tc>
          <w:tcPr>
            <w:tcW w:w="3209" w:type="dxa"/>
          </w:tcPr>
          <w:p w14:paraId="7CC68DCC" w14:textId="3EDB4973" w:rsidR="00313174" w:rsidRDefault="00313174" w:rsidP="006652F6">
            <w:pPr>
              <w:spacing w:line="360" w:lineRule="auto"/>
              <w:jc w:val="center"/>
              <w:rPr>
                <w:rFonts w:ascii="Times New Roman" w:hAnsi="Times New Roman" w:cs="Times New Roman"/>
                <w:sz w:val="28"/>
                <w:szCs w:val="28"/>
              </w:rPr>
            </w:pPr>
            <w:r>
              <w:rPr>
                <w:rFonts w:ascii="Times New Roman" w:hAnsi="Times New Roman" w:cs="Times New Roman"/>
                <w:sz w:val="28"/>
                <w:szCs w:val="28"/>
              </w:rPr>
              <w:t>Годы</w:t>
            </w:r>
          </w:p>
        </w:tc>
        <w:tc>
          <w:tcPr>
            <w:tcW w:w="3209" w:type="dxa"/>
          </w:tcPr>
          <w:p w14:paraId="683AD19B" w14:textId="5CC559B2" w:rsidR="00313174" w:rsidRDefault="00313174" w:rsidP="006652F6">
            <w:pPr>
              <w:spacing w:line="360" w:lineRule="auto"/>
              <w:jc w:val="center"/>
              <w:rPr>
                <w:rFonts w:ascii="Times New Roman" w:hAnsi="Times New Roman" w:cs="Times New Roman"/>
                <w:sz w:val="28"/>
                <w:szCs w:val="28"/>
              </w:rPr>
            </w:pPr>
            <w:r>
              <w:rPr>
                <w:rFonts w:ascii="Times New Roman" w:hAnsi="Times New Roman" w:cs="Times New Roman"/>
                <w:sz w:val="28"/>
                <w:szCs w:val="28"/>
              </w:rPr>
              <w:t>Объем ОБДС, млн. руб.</w:t>
            </w:r>
          </w:p>
        </w:tc>
        <w:tc>
          <w:tcPr>
            <w:tcW w:w="3210" w:type="dxa"/>
          </w:tcPr>
          <w:p w14:paraId="338802F2" w14:textId="18A15063" w:rsidR="00313174" w:rsidRDefault="00313174" w:rsidP="006652F6">
            <w:pPr>
              <w:spacing w:line="360" w:lineRule="auto"/>
              <w:jc w:val="center"/>
              <w:rPr>
                <w:rFonts w:ascii="Times New Roman" w:hAnsi="Times New Roman" w:cs="Times New Roman"/>
                <w:sz w:val="28"/>
                <w:szCs w:val="28"/>
              </w:rPr>
            </w:pPr>
            <w:r>
              <w:rPr>
                <w:rFonts w:ascii="Times New Roman" w:hAnsi="Times New Roman" w:cs="Times New Roman"/>
                <w:sz w:val="28"/>
                <w:szCs w:val="28"/>
              </w:rPr>
              <w:t>Количество ОБДС, тыс. ед.</w:t>
            </w:r>
          </w:p>
        </w:tc>
      </w:tr>
      <w:tr w:rsidR="00313174" w14:paraId="2A8732F1" w14:textId="77777777" w:rsidTr="00313174">
        <w:tc>
          <w:tcPr>
            <w:tcW w:w="3209" w:type="dxa"/>
          </w:tcPr>
          <w:p w14:paraId="246A6F16" w14:textId="6A1CFC2D" w:rsidR="00313174" w:rsidRDefault="00313174" w:rsidP="006652F6">
            <w:pPr>
              <w:spacing w:line="360" w:lineRule="auto"/>
              <w:jc w:val="center"/>
              <w:rPr>
                <w:rFonts w:ascii="Times New Roman" w:hAnsi="Times New Roman" w:cs="Times New Roman"/>
                <w:sz w:val="28"/>
                <w:szCs w:val="28"/>
              </w:rPr>
            </w:pPr>
            <w:r>
              <w:rPr>
                <w:rFonts w:ascii="Times New Roman" w:hAnsi="Times New Roman" w:cs="Times New Roman"/>
                <w:sz w:val="28"/>
                <w:szCs w:val="28"/>
              </w:rPr>
              <w:t>2023 г.</w:t>
            </w:r>
          </w:p>
        </w:tc>
        <w:tc>
          <w:tcPr>
            <w:tcW w:w="3209" w:type="dxa"/>
          </w:tcPr>
          <w:p w14:paraId="22347636" w14:textId="03899A81" w:rsidR="00313174" w:rsidRDefault="00313174" w:rsidP="006652F6">
            <w:pPr>
              <w:spacing w:line="360" w:lineRule="auto"/>
              <w:jc w:val="center"/>
              <w:rPr>
                <w:rFonts w:ascii="Times New Roman" w:hAnsi="Times New Roman" w:cs="Times New Roman"/>
                <w:sz w:val="28"/>
                <w:szCs w:val="28"/>
              </w:rPr>
            </w:pPr>
            <w:r>
              <w:rPr>
                <w:rFonts w:ascii="Times New Roman" w:hAnsi="Times New Roman" w:cs="Times New Roman"/>
                <w:sz w:val="28"/>
                <w:szCs w:val="28"/>
              </w:rPr>
              <w:t>15791,41</w:t>
            </w:r>
          </w:p>
        </w:tc>
        <w:tc>
          <w:tcPr>
            <w:tcW w:w="3210" w:type="dxa"/>
          </w:tcPr>
          <w:p w14:paraId="51A7B994" w14:textId="131E88D5" w:rsidR="00313174" w:rsidRDefault="00313174" w:rsidP="006652F6">
            <w:pPr>
              <w:spacing w:line="360" w:lineRule="auto"/>
              <w:jc w:val="center"/>
              <w:rPr>
                <w:rFonts w:ascii="Times New Roman" w:hAnsi="Times New Roman" w:cs="Times New Roman"/>
                <w:sz w:val="28"/>
                <w:szCs w:val="28"/>
              </w:rPr>
            </w:pPr>
            <w:r>
              <w:rPr>
                <w:rFonts w:ascii="Times New Roman" w:hAnsi="Times New Roman" w:cs="Times New Roman"/>
                <w:sz w:val="28"/>
                <w:szCs w:val="28"/>
              </w:rPr>
              <w:t>1165,99</w:t>
            </w:r>
          </w:p>
        </w:tc>
      </w:tr>
      <w:tr w:rsidR="00313174" w14:paraId="53F29FA4" w14:textId="77777777" w:rsidTr="00313174">
        <w:tc>
          <w:tcPr>
            <w:tcW w:w="3209" w:type="dxa"/>
          </w:tcPr>
          <w:p w14:paraId="1FBA08AA" w14:textId="7E7C0CEA" w:rsidR="00313174" w:rsidRDefault="00313174" w:rsidP="006652F6">
            <w:pPr>
              <w:spacing w:line="360" w:lineRule="auto"/>
              <w:jc w:val="center"/>
              <w:rPr>
                <w:rFonts w:ascii="Times New Roman" w:hAnsi="Times New Roman" w:cs="Times New Roman"/>
                <w:sz w:val="28"/>
                <w:szCs w:val="28"/>
              </w:rPr>
            </w:pPr>
            <w:r>
              <w:rPr>
                <w:rFonts w:ascii="Times New Roman" w:hAnsi="Times New Roman" w:cs="Times New Roman"/>
                <w:sz w:val="28"/>
                <w:szCs w:val="28"/>
              </w:rPr>
              <w:t>2024 г.</w:t>
            </w:r>
          </w:p>
        </w:tc>
        <w:tc>
          <w:tcPr>
            <w:tcW w:w="3209" w:type="dxa"/>
          </w:tcPr>
          <w:p w14:paraId="3EEB35AE" w14:textId="5CB4DC39" w:rsidR="00313174" w:rsidRDefault="00313174" w:rsidP="006652F6">
            <w:pPr>
              <w:spacing w:line="360" w:lineRule="auto"/>
              <w:jc w:val="center"/>
              <w:rPr>
                <w:rFonts w:ascii="Times New Roman" w:hAnsi="Times New Roman" w:cs="Times New Roman"/>
                <w:sz w:val="28"/>
                <w:szCs w:val="28"/>
              </w:rPr>
            </w:pPr>
            <w:r>
              <w:rPr>
                <w:rFonts w:ascii="Times New Roman" w:hAnsi="Times New Roman" w:cs="Times New Roman"/>
                <w:sz w:val="28"/>
                <w:szCs w:val="28"/>
              </w:rPr>
              <w:t>27534,31</w:t>
            </w:r>
          </w:p>
        </w:tc>
        <w:tc>
          <w:tcPr>
            <w:tcW w:w="3210" w:type="dxa"/>
          </w:tcPr>
          <w:p w14:paraId="60771878" w14:textId="74E2A9B2" w:rsidR="00313174" w:rsidRDefault="00313174" w:rsidP="006652F6">
            <w:pPr>
              <w:spacing w:line="360" w:lineRule="auto"/>
              <w:jc w:val="center"/>
              <w:rPr>
                <w:rFonts w:ascii="Times New Roman" w:hAnsi="Times New Roman" w:cs="Times New Roman"/>
                <w:sz w:val="28"/>
                <w:szCs w:val="28"/>
              </w:rPr>
            </w:pPr>
            <w:r>
              <w:rPr>
                <w:rFonts w:ascii="Times New Roman" w:hAnsi="Times New Roman" w:cs="Times New Roman"/>
                <w:sz w:val="28"/>
                <w:szCs w:val="28"/>
              </w:rPr>
              <w:t>1197,44</w:t>
            </w:r>
          </w:p>
        </w:tc>
      </w:tr>
      <w:tr w:rsidR="00313174" w14:paraId="584DDDFC" w14:textId="77777777" w:rsidTr="00313174">
        <w:tc>
          <w:tcPr>
            <w:tcW w:w="3209" w:type="dxa"/>
          </w:tcPr>
          <w:p w14:paraId="1DE32D93" w14:textId="3A5DEAEC" w:rsidR="00313174" w:rsidRDefault="00313174" w:rsidP="006652F6">
            <w:pPr>
              <w:spacing w:line="360" w:lineRule="auto"/>
              <w:jc w:val="center"/>
              <w:rPr>
                <w:rFonts w:ascii="Times New Roman" w:hAnsi="Times New Roman" w:cs="Times New Roman"/>
                <w:sz w:val="28"/>
                <w:szCs w:val="28"/>
              </w:rPr>
            </w:pPr>
            <w:r>
              <w:rPr>
                <w:rFonts w:ascii="Times New Roman" w:hAnsi="Times New Roman" w:cs="Times New Roman"/>
                <w:sz w:val="28"/>
                <w:szCs w:val="28"/>
              </w:rPr>
              <w:t>1 квартал 2025 г.</w:t>
            </w:r>
          </w:p>
        </w:tc>
        <w:tc>
          <w:tcPr>
            <w:tcW w:w="3209" w:type="dxa"/>
          </w:tcPr>
          <w:p w14:paraId="2F580F75" w14:textId="0AC1588F" w:rsidR="00313174" w:rsidRDefault="00EF339D" w:rsidP="006652F6">
            <w:pPr>
              <w:spacing w:line="360" w:lineRule="auto"/>
              <w:jc w:val="center"/>
              <w:rPr>
                <w:rFonts w:ascii="Times New Roman" w:hAnsi="Times New Roman" w:cs="Times New Roman"/>
                <w:sz w:val="28"/>
                <w:szCs w:val="28"/>
              </w:rPr>
            </w:pPr>
            <w:r>
              <w:rPr>
                <w:rFonts w:ascii="Times New Roman" w:hAnsi="Times New Roman" w:cs="Times New Roman"/>
                <w:sz w:val="28"/>
                <w:szCs w:val="28"/>
              </w:rPr>
              <w:t>6856,68</w:t>
            </w:r>
          </w:p>
        </w:tc>
        <w:tc>
          <w:tcPr>
            <w:tcW w:w="3210" w:type="dxa"/>
          </w:tcPr>
          <w:p w14:paraId="6055D80A" w14:textId="105D000C" w:rsidR="00313174" w:rsidRDefault="00EF339D" w:rsidP="006652F6">
            <w:pPr>
              <w:spacing w:line="360" w:lineRule="auto"/>
              <w:jc w:val="center"/>
              <w:rPr>
                <w:rFonts w:ascii="Times New Roman" w:hAnsi="Times New Roman" w:cs="Times New Roman"/>
                <w:sz w:val="28"/>
                <w:szCs w:val="28"/>
              </w:rPr>
            </w:pPr>
            <w:r>
              <w:rPr>
                <w:rFonts w:ascii="Times New Roman" w:hAnsi="Times New Roman" w:cs="Times New Roman"/>
                <w:sz w:val="28"/>
                <w:szCs w:val="28"/>
              </w:rPr>
              <w:t>296,59</w:t>
            </w:r>
          </w:p>
        </w:tc>
      </w:tr>
      <w:tr w:rsidR="00313174" w14:paraId="1DB0801C" w14:textId="77777777" w:rsidTr="00313174">
        <w:tc>
          <w:tcPr>
            <w:tcW w:w="3209" w:type="dxa"/>
          </w:tcPr>
          <w:p w14:paraId="3E49EB08" w14:textId="3B7BB43E" w:rsidR="00313174" w:rsidRDefault="00313174" w:rsidP="006652F6">
            <w:pPr>
              <w:spacing w:line="360" w:lineRule="auto"/>
              <w:jc w:val="center"/>
              <w:rPr>
                <w:rFonts w:ascii="Times New Roman" w:hAnsi="Times New Roman" w:cs="Times New Roman"/>
                <w:sz w:val="28"/>
                <w:szCs w:val="28"/>
              </w:rPr>
            </w:pPr>
            <w:r>
              <w:rPr>
                <w:rFonts w:ascii="Times New Roman" w:hAnsi="Times New Roman" w:cs="Times New Roman"/>
                <w:sz w:val="28"/>
                <w:szCs w:val="28"/>
              </w:rPr>
              <w:t>2 квартал 2025 г.</w:t>
            </w:r>
          </w:p>
        </w:tc>
        <w:tc>
          <w:tcPr>
            <w:tcW w:w="3209" w:type="dxa"/>
          </w:tcPr>
          <w:p w14:paraId="34CA6D9F" w14:textId="4675C47D" w:rsidR="00313174" w:rsidRDefault="00EF339D" w:rsidP="006652F6">
            <w:pPr>
              <w:spacing w:line="360" w:lineRule="auto"/>
              <w:jc w:val="center"/>
              <w:rPr>
                <w:rFonts w:ascii="Times New Roman" w:hAnsi="Times New Roman" w:cs="Times New Roman"/>
                <w:sz w:val="28"/>
                <w:szCs w:val="28"/>
              </w:rPr>
            </w:pPr>
            <w:r>
              <w:rPr>
                <w:rFonts w:ascii="Times New Roman" w:hAnsi="Times New Roman" w:cs="Times New Roman"/>
                <w:sz w:val="28"/>
                <w:szCs w:val="28"/>
              </w:rPr>
              <w:t>6331,12</w:t>
            </w:r>
          </w:p>
        </w:tc>
        <w:tc>
          <w:tcPr>
            <w:tcW w:w="3210" w:type="dxa"/>
          </w:tcPr>
          <w:p w14:paraId="54DC2CD3" w14:textId="492D46DE" w:rsidR="00313174" w:rsidRDefault="00EF339D" w:rsidP="006652F6">
            <w:pPr>
              <w:spacing w:line="360" w:lineRule="auto"/>
              <w:jc w:val="center"/>
              <w:rPr>
                <w:rFonts w:ascii="Times New Roman" w:hAnsi="Times New Roman" w:cs="Times New Roman"/>
                <w:sz w:val="28"/>
                <w:szCs w:val="28"/>
              </w:rPr>
            </w:pPr>
            <w:r>
              <w:rPr>
                <w:rFonts w:ascii="Times New Roman" w:hAnsi="Times New Roman" w:cs="Times New Roman"/>
                <w:sz w:val="28"/>
                <w:szCs w:val="28"/>
              </w:rPr>
              <w:t>273,09</w:t>
            </w:r>
          </w:p>
        </w:tc>
      </w:tr>
    </w:tbl>
    <w:p w14:paraId="4565AEB7" w14:textId="77777777" w:rsidR="009F417F" w:rsidRDefault="009F417F" w:rsidP="00F63A50">
      <w:pPr>
        <w:spacing w:after="0" w:line="360" w:lineRule="auto"/>
        <w:ind w:firstLine="567"/>
        <w:jc w:val="both"/>
        <w:rPr>
          <w:rFonts w:ascii="Times New Roman" w:hAnsi="Times New Roman" w:cs="Times New Roman"/>
          <w:sz w:val="28"/>
          <w:szCs w:val="28"/>
        </w:rPr>
      </w:pPr>
    </w:p>
    <w:p w14:paraId="7D8DA4C4" w14:textId="557897A6" w:rsidR="009F417F" w:rsidRDefault="009F417F" w:rsidP="009F417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Таким образом, на основе данных таблицы 1, к 2024 году отмечено значительное увеличение, объем вырос на 74%. Так, за 2024 год произошло усиление цифрового мошенничества. Объем операций без добровольного </w:t>
      </w:r>
      <w:r>
        <w:rPr>
          <w:rFonts w:ascii="Times New Roman" w:hAnsi="Times New Roman" w:cs="Times New Roman"/>
          <w:sz w:val="28"/>
          <w:szCs w:val="28"/>
        </w:rPr>
        <w:lastRenderedPageBreak/>
        <w:t xml:space="preserve">согласия клиентов в первом квартале ваше, чем во втором, </w:t>
      </w:r>
      <w:r w:rsidR="00214EE1">
        <w:rPr>
          <w:rFonts w:ascii="Times New Roman" w:hAnsi="Times New Roman" w:cs="Times New Roman"/>
          <w:sz w:val="28"/>
          <w:szCs w:val="28"/>
        </w:rPr>
        <w:t>т</w:t>
      </w:r>
      <w:r>
        <w:rPr>
          <w:rFonts w:ascii="Times New Roman" w:hAnsi="Times New Roman" w:cs="Times New Roman"/>
          <w:sz w:val="28"/>
          <w:szCs w:val="28"/>
        </w:rPr>
        <w:t>ак как с 2025 года законодательство Российской Федерации вводит ограничительные меры для усиления защиты граждан.</w:t>
      </w:r>
    </w:p>
    <w:p w14:paraId="353F8E15" w14:textId="27527675" w:rsidR="00614F61" w:rsidRDefault="009F417F" w:rsidP="009F417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Рассмотрим, каким образом злоумышленники проводят операции без добровольного согласия клиентов в 2024 году (Рис. 1.).</w:t>
      </w:r>
      <w:r w:rsidR="005E1E78">
        <w:rPr>
          <w:rFonts w:ascii="Times New Roman" w:hAnsi="Times New Roman" w:cs="Times New Roman"/>
          <w:sz w:val="28"/>
          <w:szCs w:val="28"/>
        </w:rPr>
        <w:t xml:space="preserve"> </w:t>
      </w:r>
    </w:p>
    <w:p w14:paraId="5C4F935F" w14:textId="623D6F5E" w:rsidR="006652F6" w:rsidRDefault="006652F6" w:rsidP="00210792">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69E657E4" wp14:editId="07483304">
            <wp:extent cx="6128239" cy="3165231"/>
            <wp:effectExtent l="0" t="0" r="6350" b="16510"/>
            <wp:docPr id="1862280493"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0DAEB460" w14:textId="2EB71956" w:rsidR="00A0029C" w:rsidRDefault="00A0029C" w:rsidP="00614F61">
      <w:pPr>
        <w:tabs>
          <w:tab w:val="left" w:pos="2435"/>
        </w:tabs>
        <w:spacing w:after="0" w:line="360" w:lineRule="auto"/>
        <w:ind w:firstLine="567"/>
        <w:jc w:val="center"/>
        <w:rPr>
          <w:rFonts w:ascii="Times New Roman" w:hAnsi="Times New Roman" w:cs="Times New Roman"/>
          <w:sz w:val="28"/>
          <w:szCs w:val="28"/>
        </w:rPr>
      </w:pPr>
      <w:r>
        <w:rPr>
          <w:rFonts w:ascii="Times New Roman" w:hAnsi="Times New Roman" w:cs="Times New Roman"/>
          <w:sz w:val="28"/>
          <w:szCs w:val="28"/>
        </w:rPr>
        <w:t>Рис.</w:t>
      </w:r>
      <w:r w:rsidR="00614F61">
        <w:rPr>
          <w:rFonts w:ascii="Times New Roman" w:hAnsi="Times New Roman" w:cs="Times New Roman"/>
          <w:sz w:val="28"/>
          <w:szCs w:val="28"/>
        </w:rPr>
        <w:t xml:space="preserve"> 1.</w:t>
      </w:r>
      <w:r>
        <w:rPr>
          <w:rFonts w:ascii="Times New Roman" w:hAnsi="Times New Roman" w:cs="Times New Roman"/>
          <w:sz w:val="28"/>
          <w:szCs w:val="28"/>
        </w:rPr>
        <w:t xml:space="preserve"> Объем операций без добровольного согласия клиентов – физических лиц</w:t>
      </w:r>
      <w:r w:rsidR="009F417F">
        <w:rPr>
          <w:rFonts w:ascii="Times New Roman" w:hAnsi="Times New Roman" w:cs="Times New Roman"/>
          <w:sz w:val="28"/>
          <w:szCs w:val="28"/>
        </w:rPr>
        <w:t xml:space="preserve"> за 2024 г.</w:t>
      </w:r>
      <w:r>
        <w:rPr>
          <w:rFonts w:ascii="Times New Roman" w:hAnsi="Times New Roman" w:cs="Times New Roman"/>
          <w:sz w:val="28"/>
          <w:szCs w:val="28"/>
        </w:rPr>
        <w:t>, млн. руб.</w:t>
      </w:r>
      <w:r w:rsidR="005326B2">
        <w:rPr>
          <w:rFonts w:ascii="Times New Roman" w:hAnsi="Times New Roman" w:cs="Times New Roman"/>
          <w:sz w:val="28"/>
          <w:szCs w:val="28"/>
        </w:rPr>
        <w:t xml:space="preserve"> </w:t>
      </w:r>
      <w:r w:rsidR="005326B2" w:rsidRPr="005326B2">
        <w:rPr>
          <w:rFonts w:ascii="Times New Roman" w:hAnsi="Times New Roman" w:cs="Times New Roman"/>
          <w:sz w:val="28"/>
          <w:szCs w:val="28"/>
        </w:rPr>
        <w:t>[</w:t>
      </w:r>
      <w:r w:rsidR="005326B2">
        <w:rPr>
          <w:rFonts w:ascii="Times New Roman" w:hAnsi="Times New Roman" w:cs="Times New Roman"/>
          <w:sz w:val="28"/>
          <w:szCs w:val="28"/>
        </w:rPr>
        <w:fldChar w:fldCharType="begin"/>
      </w:r>
      <w:r w:rsidR="005326B2">
        <w:rPr>
          <w:rFonts w:ascii="Times New Roman" w:hAnsi="Times New Roman" w:cs="Times New Roman"/>
          <w:sz w:val="28"/>
          <w:szCs w:val="28"/>
        </w:rPr>
        <w:instrText xml:space="preserve"> REF _Ref209375754 \r \h </w:instrText>
      </w:r>
      <w:r w:rsidR="005326B2">
        <w:rPr>
          <w:rFonts w:ascii="Times New Roman" w:hAnsi="Times New Roman" w:cs="Times New Roman"/>
          <w:sz w:val="28"/>
          <w:szCs w:val="28"/>
        </w:rPr>
      </w:r>
      <w:r w:rsidR="005326B2">
        <w:rPr>
          <w:rFonts w:ascii="Times New Roman" w:hAnsi="Times New Roman" w:cs="Times New Roman"/>
          <w:sz w:val="28"/>
          <w:szCs w:val="28"/>
        </w:rPr>
        <w:fldChar w:fldCharType="separate"/>
      </w:r>
      <w:r w:rsidR="005326B2">
        <w:rPr>
          <w:rFonts w:ascii="Times New Roman" w:hAnsi="Times New Roman" w:cs="Times New Roman"/>
          <w:sz w:val="28"/>
          <w:szCs w:val="28"/>
        </w:rPr>
        <w:t>9</w:t>
      </w:r>
      <w:r w:rsidR="005326B2">
        <w:rPr>
          <w:rFonts w:ascii="Times New Roman" w:hAnsi="Times New Roman" w:cs="Times New Roman"/>
          <w:sz w:val="28"/>
          <w:szCs w:val="28"/>
        </w:rPr>
        <w:fldChar w:fldCharType="end"/>
      </w:r>
      <w:r w:rsidR="005326B2" w:rsidRPr="005326B2">
        <w:rPr>
          <w:rFonts w:ascii="Times New Roman" w:hAnsi="Times New Roman" w:cs="Times New Roman"/>
          <w:sz w:val="28"/>
          <w:szCs w:val="28"/>
        </w:rPr>
        <w:t>]</w:t>
      </w:r>
    </w:p>
    <w:p w14:paraId="0485EC40" w14:textId="53716F77" w:rsidR="00A0029C" w:rsidRDefault="005E1E78" w:rsidP="005E1E78">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Основная доля операций без добровольного согласия клиентов физических лиц приходится через системы быстрых платежей (СБП) и платежные карты. Платежные карты и СБП являются наиболее удобными сервисами и доступными, что, в свою очередь, делает их более уязвимыми для злоупотреблений. Заметно меньший объем наблюдается в случае с электронными кошельками и операциями без открытия счета. Это связано с меньшей распространенностью данных инструментов среди населения. </w:t>
      </w:r>
    </w:p>
    <w:p w14:paraId="32F5859D" w14:textId="535F64E6" w:rsidR="003B58A5" w:rsidRDefault="003B58A5" w:rsidP="003B58A5">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рамках ежегодного исследования Центрального Банка Российской Федерации был сформирован детальный портрет жертв злоумышленников в сфере кибермошенничества. Согласно статистике Банка России, каждая третья опрошенная единица населения столкнулась с различными формами кибермошенничества, при этом 9% пострадавших граждан полностью лишились денежных средств. Это свидетельствует о высокой активности мошенников, </w:t>
      </w:r>
      <w:r>
        <w:rPr>
          <w:rFonts w:ascii="Times New Roman" w:hAnsi="Times New Roman" w:cs="Times New Roman"/>
          <w:sz w:val="28"/>
          <w:szCs w:val="28"/>
        </w:rPr>
        <w:lastRenderedPageBreak/>
        <w:t xml:space="preserve">несмотря на усилия Банка России и банковского сектора по усилению защиты персональных данных и денежных средств населения. </w:t>
      </w:r>
    </w:p>
    <w:p w14:paraId="6CA280A4" w14:textId="54FB3BE7" w:rsidR="003B58A5" w:rsidRDefault="003B58A5" w:rsidP="003B58A5">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Составления портрета анализа жертв показывает, что наиболее уязвимыми группами остаются граждане, которые активно пользуются банковскими сервисами, в возрасте от 25 до 64 лет. Таким образом, по итогам опроса населения наиболее подвержены атакам злоумышленников трудоустроенные женщины с умеренными доходами и средним образованием, проживающие в городской среде и имеющие стабильную занятость. </w:t>
      </w:r>
    </w:p>
    <w:p w14:paraId="713C8DBC" w14:textId="14D755A4" w:rsidR="00015C73" w:rsidRDefault="00015C73" w:rsidP="003B58A5">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84,4% опрошенных смогли противостоять мошенническим попыткам, не выполняя никаких действий, предложенных мошенниками. Тем не менее, количество лиц, совершивших действия под влиянием обмана, выросло на 3,2%, что требует дополнительных мер по профилактике населения о типичных схемах мошенничества. Впервые в исследовании Банка России учтен источник похищенных средств. Так, по итогам 2024 года источниками похищенных средств стали:</w:t>
      </w:r>
    </w:p>
    <w:p w14:paraId="41E81368" w14:textId="0ACF405E" w:rsidR="00015C73" w:rsidRDefault="00015C73" w:rsidP="003B58A5">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- 71,2% - собственные денежные средства;</w:t>
      </w:r>
    </w:p>
    <w:p w14:paraId="2DCBA3FF" w14:textId="0475785B" w:rsidR="00015C73" w:rsidRDefault="00015C73" w:rsidP="003B58A5">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- 15,4% - кредитные денежные средства;</w:t>
      </w:r>
    </w:p>
    <w:p w14:paraId="1F24459D" w14:textId="4DECF42B" w:rsidR="00015C73" w:rsidRDefault="00015C73" w:rsidP="003B58A5">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- 13,4% собственные и кредитные денежные средства.</w:t>
      </w:r>
      <w:r w:rsidR="005326B2">
        <w:rPr>
          <w:rFonts w:ascii="Times New Roman" w:hAnsi="Times New Roman" w:cs="Times New Roman"/>
          <w:sz w:val="28"/>
          <w:szCs w:val="28"/>
        </w:rPr>
        <w:t xml:space="preserve"> </w:t>
      </w:r>
      <w:r w:rsidR="005326B2" w:rsidRPr="005326B2">
        <w:rPr>
          <w:rFonts w:ascii="Times New Roman" w:hAnsi="Times New Roman" w:cs="Times New Roman"/>
          <w:sz w:val="28"/>
          <w:szCs w:val="28"/>
        </w:rPr>
        <w:t>[</w:t>
      </w:r>
      <w:r w:rsidR="005326B2">
        <w:rPr>
          <w:rFonts w:ascii="Times New Roman" w:hAnsi="Times New Roman" w:cs="Times New Roman"/>
          <w:sz w:val="28"/>
          <w:szCs w:val="28"/>
        </w:rPr>
        <w:fldChar w:fldCharType="begin"/>
      </w:r>
      <w:r w:rsidR="005326B2">
        <w:rPr>
          <w:rFonts w:ascii="Times New Roman" w:hAnsi="Times New Roman" w:cs="Times New Roman"/>
          <w:sz w:val="28"/>
          <w:szCs w:val="28"/>
        </w:rPr>
        <w:instrText xml:space="preserve"> REF _Ref209375805 \r \h </w:instrText>
      </w:r>
      <w:r w:rsidR="005326B2">
        <w:rPr>
          <w:rFonts w:ascii="Times New Roman" w:hAnsi="Times New Roman" w:cs="Times New Roman"/>
          <w:sz w:val="28"/>
          <w:szCs w:val="28"/>
        </w:rPr>
      </w:r>
      <w:r w:rsidR="005326B2">
        <w:rPr>
          <w:rFonts w:ascii="Times New Roman" w:hAnsi="Times New Roman" w:cs="Times New Roman"/>
          <w:sz w:val="28"/>
          <w:szCs w:val="28"/>
        </w:rPr>
        <w:fldChar w:fldCharType="separate"/>
      </w:r>
      <w:r w:rsidR="005326B2">
        <w:rPr>
          <w:rFonts w:ascii="Times New Roman" w:hAnsi="Times New Roman" w:cs="Times New Roman"/>
          <w:sz w:val="28"/>
          <w:szCs w:val="28"/>
        </w:rPr>
        <w:t>8</w:t>
      </w:r>
      <w:r w:rsidR="005326B2">
        <w:rPr>
          <w:rFonts w:ascii="Times New Roman" w:hAnsi="Times New Roman" w:cs="Times New Roman"/>
          <w:sz w:val="28"/>
          <w:szCs w:val="28"/>
        </w:rPr>
        <w:fldChar w:fldCharType="end"/>
      </w:r>
      <w:r w:rsidR="005326B2" w:rsidRPr="005326B2">
        <w:rPr>
          <w:rFonts w:ascii="Times New Roman" w:hAnsi="Times New Roman" w:cs="Times New Roman"/>
          <w:sz w:val="28"/>
          <w:szCs w:val="28"/>
        </w:rPr>
        <w:t>]</w:t>
      </w:r>
    </w:p>
    <w:p w14:paraId="7B3ABFE9" w14:textId="1236FA9C" w:rsidR="00860A50" w:rsidRDefault="00015C73" w:rsidP="009F417F">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С 25 июля 2024 года вступили законодательные нормы, согласно которым банки обязаны компенсировать ущерб клиентам, если не заблокировали перевод на подозрительный счет в течение двух дней. Это существенно повышает ответственность банков и способствует снижению количества мошеннических операций.</w:t>
      </w:r>
    </w:p>
    <w:p w14:paraId="76E880EF" w14:textId="6279F1B6" w:rsidR="00210792" w:rsidRDefault="002162E4" w:rsidP="003B58A5">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Специалисты Центрального Банка Российской Федерации </w:t>
      </w:r>
      <w:r w:rsidR="002269AC">
        <w:rPr>
          <w:rFonts w:ascii="Times New Roman" w:hAnsi="Times New Roman" w:cs="Times New Roman"/>
          <w:sz w:val="28"/>
          <w:szCs w:val="28"/>
        </w:rPr>
        <w:t xml:space="preserve">регулярно фиксируют новые схемы цифрового мошенничества. Одной из распространенных схем являются телефонные звонки, при котором злоумышленники представляются сотрудниками различных государственных и финансовых структур (Банк России, Прокуратура РФ, МВД РФ, Роспотребнадзор и </w:t>
      </w:r>
      <w:r w:rsidR="00614F61">
        <w:rPr>
          <w:rFonts w:ascii="Times New Roman" w:hAnsi="Times New Roman" w:cs="Times New Roman"/>
          <w:sz w:val="28"/>
          <w:szCs w:val="28"/>
        </w:rPr>
        <w:t>т. д.</w:t>
      </w:r>
      <w:r w:rsidR="002269AC">
        <w:rPr>
          <w:rFonts w:ascii="Times New Roman" w:hAnsi="Times New Roman" w:cs="Times New Roman"/>
          <w:sz w:val="28"/>
          <w:szCs w:val="28"/>
        </w:rPr>
        <w:t xml:space="preserve">), убеждая граждан выполнить определенные действия, которые в итоге приводят к потерям денежным средств. Например, часто встречаются случаи, когда   </w:t>
      </w:r>
    </w:p>
    <w:p w14:paraId="7001561D" w14:textId="0931C74F" w:rsidR="002269AC" w:rsidRDefault="002269AC" w:rsidP="003B58A5">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Немаловажно отметить, что подобные схемы часто дополняются информацией о якобы «специальных» или «безопасных» счетах, куда требуется перевести средства для их сохранности. </w:t>
      </w:r>
    </w:p>
    <w:p w14:paraId="096E4608" w14:textId="65374F44" w:rsidR="002269AC" w:rsidRDefault="002269AC" w:rsidP="003B58A5">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Еще один распространенный метод – это предложение проверить данные банковских карт или </w:t>
      </w:r>
      <w:r w:rsidR="00E01A16">
        <w:rPr>
          <w:rFonts w:ascii="Times New Roman" w:hAnsi="Times New Roman" w:cs="Times New Roman"/>
          <w:sz w:val="28"/>
          <w:szCs w:val="28"/>
        </w:rPr>
        <w:t>счетов на предмет утечки информации. Для этого жертве отправляются ссылку на фишинговый сайт</w:t>
      </w:r>
      <w:r w:rsidR="00614F61">
        <w:rPr>
          <w:rFonts w:ascii="Times New Roman" w:hAnsi="Times New Roman" w:cs="Times New Roman"/>
          <w:sz w:val="28"/>
          <w:szCs w:val="28"/>
        </w:rPr>
        <w:t xml:space="preserve">, где требуется ввести все реквизиты. Как только информация попадает в руки преступников, они незамедлительно используют для хищения денежных средств. </w:t>
      </w:r>
    </w:p>
    <w:p w14:paraId="1EBEEEBD" w14:textId="55558D59" w:rsidR="00E01A16" w:rsidRDefault="00860A50" w:rsidP="003B58A5">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Особую опасность представляют звонки от лица сотрудников мобильных операторов, которые сообщают о скором отключении номера. Чтобы избежать этого, жертве предлагают набрать определенную комбинацию цифр, что на самом деле приводит к переадресации СМС-сообщений на номер мошенников. В некоторых случаях злоумышленники утверждают, что требуется </w:t>
      </w:r>
      <w:r w:rsidR="007F393B">
        <w:rPr>
          <w:rFonts w:ascii="Times New Roman" w:hAnsi="Times New Roman" w:cs="Times New Roman"/>
          <w:sz w:val="28"/>
          <w:szCs w:val="28"/>
        </w:rPr>
        <w:t xml:space="preserve">переоформить договор связи или отключить платные услуги, но их истинная цель – получить доступ к личному кабинету абонента. </w:t>
      </w:r>
    </w:p>
    <w:p w14:paraId="36F520E0" w14:textId="011262D7" w:rsidR="007F393B" w:rsidRDefault="007F393B" w:rsidP="003B58A5">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Важно подчеркнуть, что Центральный Банк России неоднократно предупреждает граждан о том, что сотрудники никогда не звонят с просьбами предоставить банковские данные или перевести денежные средства. Тем не менее, мошенники продолжают использовать поддельные удостоверения и поддельные документы, которые выглядят максимально правдоподобно. </w:t>
      </w:r>
    </w:p>
    <w:p w14:paraId="2F783BC6" w14:textId="0CBB46C8" w:rsidR="007F393B" w:rsidRDefault="007F393B" w:rsidP="003B58A5">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Стоит отметить, что мошенники активно используют социальные сети и мессенджеры для создания поддельных аккаунтов Банка России. Используя такие аккаунты, злоумышленники отправляют сообщения руководителям компаний, просят помощи в задержании аферистов и предлагают следовать инструкциям звонящих. Так, важно отметить, что мошенники создают поддельные аккаунты друзей, родственников и знакомых. На этих страницах содержат реальные данные и фотографии, что делает их максимально достоверными. </w:t>
      </w:r>
    </w:p>
    <w:p w14:paraId="4DB51AC9" w14:textId="19074C39" w:rsidR="007F393B" w:rsidRDefault="00384194" w:rsidP="003B58A5">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В настоящее время стремительно развиваются технологии, в частности искусственный интеллект. Одним из распространённых методов злоумышленников является дипфейк-технология.  По своей сути, дипфей</w:t>
      </w:r>
      <w:r w:rsidR="00C55514">
        <w:rPr>
          <w:rFonts w:ascii="Times New Roman" w:hAnsi="Times New Roman" w:cs="Times New Roman"/>
          <w:sz w:val="28"/>
          <w:szCs w:val="28"/>
        </w:rPr>
        <w:t>к</w:t>
      </w:r>
      <w:r>
        <w:rPr>
          <w:rFonts w:ascii="Times New Roman" w:hAnsi="Times New Roman" w:cs="Times New Roman"/>
          <w:sz w:val="28"/>
          <w:szCs w:val="28"/>
        </w:rPr>
        <w:t>-</w:t>
      </w:r>
      <w:r>
        <w:rPr>
          <w:rFonts w:ascii="Times New Roman" w:hAnsi="Times New Roman" w:cs="Times New Roman"/>
          <w:sz w:val="28"/>
          <w:szCs w:val="28"/>
        </w:rPr>
        <w:lastRenderedPageBreak/>
        <w:t>технология заключается в том, чтобы задействовать суть искусственного интеллекта, в котором происходит подмена голоса или лица человека.</w:t>
      </w:r>
      <w:r w:rsidR="005326B2" w:rsidRPr="005326B2">
        <w:rPr>
          <w:rFonts w:ascii="Times New Roman" w:hAnsi="Times New Roman" w:cs="Times New Roman"/>
          <w:sz w:val="28"/>
          <w:szCs w:val="28"/>
        </w:rPr>
        <w:t xml:space="preserve"> [</w:t>
      </w:r>
      <w:r w:rsidR="005326B2">
        <w:rPr>
          <w:rFonts w:ascii="Times New Roman" w:hAnsi="Times New Roman" w:cs="Times New Roman"/>
          <w:sz w:val="28"/>
          <w:szCs w:val="28"/>
        </w:rPr>
        <w:fldChar w:fldCharType="begin"/>
      </w:r>
      <w:r w:rsidR="005326B2">
        <w:rPr>
          <w:rFonts w:ascii="Times New Roman" w:hAnsi="Times New Roman" w:cs="Times New Roman"/>
          <w:sz w:val="28"/>
          <w:szCs w:val="28"/>
        </w:rPr>
        <w:instrText xml:space="preserve"> REF _Ref209375831 \r \h </w:instrText>
      </w:r>
      <w:r w:rsidR="005326B2">
        <w:rPr>
          <w:rFonts w:ascii="Times New Roman" w:hAnsi="Times New Roman" w:cs="Times New Roman"/>
          <w:sz w:val="28"/>
          <w:szCs w:val="28"/>
        </w:rPr>
      </w:r>
      <w:r w:rsidR="005326B2">
        <w:rPr>
          <w:rFonts w:ascii="Times New Roman" w:hAnsi="Times New Roman" w:cs="Times New Roman"/>
          <w:sz w:val="28"/>
          <w:szCs w:val="28"/>
        </w:rPr>
        <w:fldChar w:fldCharType="separate"/>
      </w:r>
      <w:r w:rsidR="005326B2">
        <w:rPr>
          <w:rFonts w:ascii="Times New Roman" w:hAnsi="Times New Roman" w:cs="Times New Roman"/>
          <w:sz w:val="28"/>
          <w:szCs w:val="28"/>
        </w:rPr>
        <w:t>6</w:t>
      </w:r>
      <w:r w:rsidR="005326B2">
        <w:rPr>
          <w:rFonts w:ascii="Times New Roman" w:hAnsi="Times New Roman" w:cs="Times New Roman"/>
          <w:sz w:val="28"/>
          <w:szCs w:val="28"/>
        </w:rPr>
        <w:fldChar w:fldCharType="end"/>
      </w:r>
      <w:r w:rsidR="005326B2">
        <w:rPr>
          <w:rFonts w:ascii="Times New Roman" w:hAnsi="Times New Roman" w:cs="Times New Roman"/>
          <w:sz w:val="28"/>
          <w:szCs w:val="28"/>
        </w:rPr>
        <w:t>, 378</w:t>
      </w:r>
      <w:r w:rsidR="005326B2" w:rsidRPr="005326B2">
        <w:rPr>
          <w:rFonts w:ascii="Times New Roman" w:hAnsi="Times New Roman" w:cs="Times New Roman"/>
          <w:sz w:val="28"/>
          <w:szCs w:val="28"/>
        </w:rPr>
        <w:t>]</w:t>
      </w:r>
      <w:r>
        <w:rPr>
          <w:rFonts w:ascii="Times New Roman" w:hAnsi="Times New Roman" w:cs="Times New Roman"/>
          <w:sz w:val="28"/>
          <w:szCs w:val="28"/>
        </w:rPr>
        <w:t xml:space="preserve"> </w:t>
      </w:r>
      <w:r w:rsidR="004C7FE1">
        <w:rPr>
          <w:rFonts w:ascii="Times New Roman" w:hAnsi="Times New Roman" w:cs="Times New Roman"/>
          <w:sz w:val="28"/>
          <w:szCs w:val="28"/>
        </w:rPr>
        <w:t xml:space="preserve">Так, злоумышленники генерируют видеоролики, в которых определенный человек просить перевести деньги на счет. </w:t>
      </w:r>
    </w:p>
    <w:p w14:paraId="5486D31E" w14:textId="6DAE1039" w:rsidR="004C7FE1" w:rsidRDefault="004C7FE1" w:rsidP="004C7FE1">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Таким образом, исходя из мошеннических схем, рассмотрим, какие действия совершают жертвы под влиянием мошенников (Рис. </w:t>
      </w:r>
      <w:r w:rsidR="00CF7325">
        <w:rPr>
          <w:rFonts w:ascii="Times New Roman" w:hAnsi="Times New Roman" w:cs="Times New Roman"/>
          <w:sz w:val="28"/>
          <w:szCs w:val="28"/>
        </w:rPr>
        <w:t>2</w:t>
      </w:r>
      <w:r>
        <w:rPr>
          <w:rFonts w:ascii="Times New Roman" w:hAnsi="Times New Roman" w:cs="Times New Roman"/>
          <w:sz w:val="28"/>
          <w:szCs w:val="28"/>
        </w:rPr>
        <w:t xml:space="preserve">.). </w:t>
      </w:r>
    </w:p>
    <w:p w14:paraId="60286EF3" w14:textId="77777777" w:rsidR="00860A50" w:rsidRDefault="00860A50" w:rsidP="00860A50">
      <w:pPr>
        <w:tabs>
          <w:tab w:val="left" w:pos="2435"/>
        </w:tabs>
        <w:spacing w:after="0" w:line="36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3B89CE74" wp14:editId="60F02765">
            <wp:extent cx="6122504" cy="4206240"/>
            <wp:effectExtent l="0" t="0" r="12065" b="3810"/>
            <wp:docPr id="1094971897"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0A355851" w14:textId="0DC29D72" w:rsidR="00860A50" w:rsidRDefault="00860A50" w:rsidP="00860A50">
      <w:pPr>
        <w:tabs>
          <w:tab w:val="left" w:pos="2435"/>
        </w:tabs>
        <w:spacing w:after="0" w:line="360" w:lineRule="auto"/>
        <w:ind w:firstLine="567"/>
        <w:jc w:val="center"/>
        <w:rPr>
          <w:rFonts w:ascii="Times New Roman" w:hAnsi="Times New Roman" w:cs="Times New Roman"/>
          <w:sz w:val="28"/>
          <w:szCs w:val="28"/>
        </w:rPr>
      </w:pPr>
      <w:r>
        <w:rPr>
          <w:rFonts w:ascii="Times New Roman" w:hAnsi="Times New Roman" w:cs="Times New Roman"/>
          <w:sz w:val="28"/>
          <w:szCs w:val="28"/>
        </w:rPr>
        <w:t xml:space="preserve">Рис. </w:t>
      </w:r>
      <w:r w:rsidR="00CF7325">
        <w:rPr>
          <w:rFonts w:ascii="Times New Roman" w:hAnsi="Times New Roman" w:cs="Times New Roman"/>
          <w:sz w:val="28"/>
          <w:szCs w:val="28"/>
        </w:rPr>
        <w:t>2</w:t>
      </w:r>
      <w:r>
        <w:rPr>
          <w:rFonts w:ascii="Times New Roman" w:hAnsi="Times New Roman" w:cs="Times New Roman"/>
          <w:sz w:val="28"/>
          <w:szCs w:val="28"/>
        </w:rPr>
        <w:t>. Совершаемые действия под влиянием мошенников, %</w:t>
      </w:r>
      <w:r w:rsidR="005326B2">
        <w:rPr>
          <w:rFonts w:ascii="Times New Roman" w:hAnsi="Times New Roman" w:cs="Times New Roman"/>
          <w:sz w:val="28"/>
          <w:szCs w:val="28"/>
        </w:rPr>
        <w:t xml:space="preserve"> </w:t>
      </w:r>
      <w:r w:rsidR="005326B2" w:rsidRPr="005326B2">
        <w:rPr>
          <w:rFonts w:ascii="Times New Roman" w:hAnsi="Times New Roman" w:cs="Times New Roman"/>
          <w:sz w:val="28"/>
          <w:szCs w:val="28"/>
        </w:rPr>
        <w:t>[</w:t>
      </w:r>
      <w:r w:rsidR="005326B2">
        <w:rPr>
          <w:rFonts w:ascii="Times New Roman" w:hAnsi="Times New Roman" w:cs="Times New Roman"/>
          <w:sz w:val="28"/>
          <w:szCs w:val="28"/>
        </w:rPr>
        <w:fldChar w:fldCharType="begin"/>
      </w:r>
      <w:r w:rsidR="005326B2">
        <w:rPr>
          <w:rFonts w:ascii="Times New Roman" w:hAnsi="Times New Roman" w:cs="Times New Roman"/>
          <w:sz w:val="28"/>
          <w:szCs w:val="28"/>
        </w:rPr>
        <w:instrText xml:space="preserve"> REF _Ref209375805 \r \h </w:instrText>
      </w:r>
      <w:r w:rsidR="005326B2">
        <w:rPr>
          <w:rFonts w:ascii="Times New Roman" w:hAnsi="Times New Roman" w:cs="Times New Roman"/>
          <w:sz w:val="28"/>
          <w:szCs w:val="28"/>
        </w:rPr>
      </w:r>
      <w:r w:rsidR="005326B2">
        <w:rPr>
          <w:rFonts w:ascii="Times New Roman" w:hAnsi="Times New Roman" w:cs="Times New Roman"/>
          <w:sz w:val="28"/>
          <w:szCs w:val="28"/>
        </w:rPr>
        <w:fldChar w:fldCharType="separate"/>
      </w:r>
      <w:r w:rsidR="005326B2">
        <w:rPr>
          <w:rFonts w:ascii="Times New Roman" w:hAnsi="Times New Roman" w:cs="Times New Roman"/>
          <w:sz w:val="28"/>
          <w:szCs w:val="28"/>
        </w:rPr>
        <w:t>8</w:t>
      </w:r>
      <w:r w:rsidR="005326B2">
        <w:rPr>
          <w:rFonts w:ascii="Times New Roman" w:hAnsi="Times New Roman" w:cs="Times New Roman"/>
          <w:sz w:val="28"/>
          <w:szCs w:val="28"/>
        </w:rPr>
        <w:fldChar w:fldCharType="end"/>
      </w:r>
      <w:r w:rsidR="005326B2" w:rsidRPr="005326B2">
        <w:rPr>
          <w:rFonts w:ascii="Times New Roman" w:hAnsi="Times New Roman" w:cs="Times New Roman"/>
          <w:sz w:val="28"/>
          <w:szCs w:val="28"/>
        </w:rPr>
        <w:t>]</w:t>
      </w:r>
    </w:p>
    <w:p w14:paraId="3DBBB93E" w14:textId="6C56222A" w:rsidR="004C7FE1" w:rsidRDefault="004C7FE1" w:rsidP="004F54D6">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На основе диаграммы, представленной на рисунке 3, видно распределение наиболее частых действий, которые граждане совершают под воздействием мошеннических схем.</w:t>
      </w:r>
      <w:r w:rsidR="004F54D6">
        <w:rPr>
          <w:rFonts w:ascii="Times New Roman" w:hAnsi="Times New Roman" w:cs="Times New Roman"/>
          <w:sz w:val="28"/>
          <w:szCs w:val="28"/>
        </w:rPr>
        <w:t xml:space="preserve"> Наибольшую долю среди них занимает переход по сомнительным ссылкам, полученным от злоумышленников – 18,9%, это говорит, что значительная часть пользователей недостаточно осознает риски, связанным с кликом по гиперссылкам, что может привести к краже персональных данных или заражение устройства вредоносными приложениями. </w:t>
      </w:r>
    </w:p>
    <w:p w14:paraId="4E09CAB9" w14:textId="73748157" w:rsidR="004F54D6" w:rsidRDefault="004F54D6" w:rsidP="004F54D6">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На втором месте –</w:t>
      </w:r>
      <w:r w:rsidR="00CF7325">
        <w:rPr>
          <w:rFonts w:ascii="Times New Roman" w:hAnsi="Times New Roman" w:cs="Times New Roman"/>
          <w:sz w:val="28"/>
          <w:szCs w:val="28"/>
        </w:rPr>
        <w:t xml:space="preserve"> это</w:t>
      </w:r>
      <w:r>
        <w:rPr>
          <w:rFonts w:ascii="Times New Roman" w:hAnsi="Times New Roman" w:cs="Times New Roman"/>
          <w:sz w:val="28"/>
          <w:szCs w:val="28"/>
        </w:rPr>
        <w:t xml:space="preserve"> перевод средств на счета мошенников (15,6%), что указывает на готовность части населения сразу реагировать на финансовые угрозы, не проверяя их подлинность. Следующие позиции занимают действия, </w:t>
      </w:r>
      <w:r>
        <w:rPr>
          <w:rFonts w:ascii="Times New Roman" w:hAnsi="Times New Roman" w:cs="Times New Roman"/>
          <w:sz w:val="28"/>
          <w:szCs w:val="28"/>
        </w:rPr>
        <w:lastRenderedPageBreak/>
        <w:t xml:space="preserve">связанные с передачей кодов СМС-сообщений: 11,2% опрошенных сообщали коды от </w:t>
      </w:r>
      <w:r w:rsidR="00966126">
        <w:rPr>
          <w:rFonts w:ascii="Times New Roman" w:hAnsi="Times New Roman" w:cs="Times New Roman"/>
          <w:sz w:val="28"/>
          <w:szCs w:val="28"/>
        </w:rPr>
        <w:t xml:space="preserve">Госуслуг, а 10,8% - от уведомлений банков. Это говорит о том, что даже при наличии механизма двухфакторной аутентификации пользователи сообщают коды злоумышленникам. </w:t>
      </w:r>
    </w:p>
    <w:p w14:paraId="1D9E9244" w14:textId="329DD9CE" w:rsidR="00966126" w:rsidRDefault="00966126" w:rsidP="004F54D6">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Заметно меньший процент наблюдается при вводе данных банковской карты на сторонних сайтах и установке вредоносного ПО, что может </w:t>
      </w:r>
      <w:r w:rsidR="00776C08">
        <w:rPr>
          <w:rFonts w:ascii="Times New Roman" w:hAnsi="Times New Roman" w:cs="Times New Roman"/>
          <w:sz w:val="28"/>
          <w:szCs w:val="28"/>
        </w:rPr>
        <w:t>объясняться</w:t>
      </w:r>
      <w:r>
        <w:rPr>
          <w:rFonts w:ascii="Times New Roman" w:hAnsi="Times New Roman" w:cs="Times New Roman"/>
          <w:sz w:val="28"/>
          <w:szCs w:val="28"/>
        </w:rPr>
        <w:t xml:space="preserve"> более явными последствиями этих действий или повышенной бдительностью в таких случаях. Однако такие показатели, как сообщение паспортных данных и ввод личной информации на непроверенных ресурсах все еще остаются тревожными сигналами о низкой цифровой грамотности. </w:t>
      </w:r>
    </w:p>
    <w:p w14:paraId="4065D285" w14:textId="3C6ABEE7" w:rsidR="00966126" w:rsidRDefault="00966126" w:rsidP="00776C08">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целом, данные диаграммы подчеркивают необходимость усиления профилактической работы среди пользователей сети «Интернет» и банковских услуг, направленной на повышения внимания к признакам мошенничества и обучение безопасному поведению в сети «Интернет». </w:t>
      </w:r>
    </w:p>
    <w:p w14:paraId="03EE5245" w14:textId="08668813" w:rsidR="00776C08" w:rsidRDefault="00776C08" w:rsidP="00776C08">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связи с увеличением количества цифрового мошенничества законодательство Российской Федерации активно внедряет механизмы защиты граждан. </w:t>
      </w:r>
    </w:p>
    <w:p w14:paraId="56B49EF9" w14:textId="60932507" w:rsidR="00776C08" w:rsidRDefault="00776C08" w:rsidP="00776C08">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Одним из ключевых нововведений стало введение механизма </w:t>
      </w:r>
      <w:proofErr w:type="spellStart"/>
      <w:r>
        <w:rPr>
          <w:rFonts w:ascii="Times New Roman" w:hAnsi="Times New Roman" w:cs="Times New Roman"/>
          <w:sz w:val="28"/>
          <w:szCs w:val="28"/>
        </w:rPr>
        <w:t>самозапрета</w:t>
      </w:r>
      <w:proofErr w:type="spellEnd"/>
      <w:r>
        <w:rPr>
          <w:rFonts w:ascii="Times New Roman" w:hAnsi="Times New Roman" w:cs="Times New Roman"/>
          <w:sz w:val="28"/>
          <w:szCs w:val="28"/>
        </w:rPr>
        <w:t xml:space="preserve"> на кредиты, который вступил в силу с 1 марта 2025 года в соответствии с Федеральным законом №31-ФЗ.</w:t>
      </w:r>
      <w:r w:rsidR="005326B2" w:rsidRPr="005326B2">
        <w:rPr>
          <w:rFonts w:ascii="Times New Roman" w:hAnsi="Times New Roman" w:cs="Times New Roman"/>
          <w:sz w:val="28"/>
          <w:szCs w:val="28"/>
        </w:rPr>
        <w:t xml:space="preserve"> </w:t>
      </w:r>
      <w:r>
        <w:rPr>
          <w:rFonts w:ascii="Times New Roman" w:hAnsi="Times New Roman" w:cs="Times New Roman"/>
          <w:sz w:val="28"/>
          <w:szCs w:val="28"/>
        </w:rPr>
        <w:t xml:space="preserve">Процедура </w:t>
      </w:r>
      <w:proofErr w:type="spellStart"/>
      <w:r>
        <w:rPr>
          <w:rFonts w:ascii="Times New Roman" w:hAnsi="Times New Roman" w:cs="Times New Roman"/>
          <w:sz w:val="28"/>
          <w:szCs w:val="28"/>
        </w:rPr>
        <w:t>самозапрета</w:t>
      </w:r>
      <w:proofErr w:type="spellEnd"/>
      <w:r>
        <w:rPr>
          <w:rFonts w:ascii="Times New Roman" w:hAnsi="Times New Roman" w:cs="Times New Roman"/>
          <w:sz w:val="28"/>
          <w:szCs w:val="28"/>
        </w:rPr>
        <w:t xml:space="preserve"> на кредиты осуществляется через портал Госуслуг и МФЦ.</w:t>
      </w:r>
      <w:r w:rsidR="005326B2" w:rsidRPr="005326B2">
        <w:rPr>
          <w:rFonts w:ascii="Times New Roman" w:hAnsi="Times New Roman" w:cs="Times New Roman"/>
          <w:sz w:val="28"/>
          <w:szCs w:val="28"/>
        </w:rPr>
        <w:t xml:space="preserve"> [</w:t>
      </w:r>
      <w:r w:rsidR="005326B2">
        <w:rPr>
          <w:rFonts w:ascii="Times New Roman" w:hAnsi="Times New Roman" w:cs="Times New Roman"/>
          <w:sz w:val="28"/>
          <w:szCs w:val="28"/>
        </w:rPr>
        <w:fldChar w:fldCharType="begin"/>
      </w:r>
      <w:r w:rsidR="005326B2">
        <w:rPr>
          <w:rFonts w:ascii="Times New Roman" w:hAnsi="Times New Roman" w:cs="Times New Roman"/>
          <w:sz w:val="28"/>
          <w:szCs w:val="28"/>
        </w:rPr>
        <w:instrText xml:space="preserve"> REF _Ref209375893 \r \h </w:instrText>
      </w:r>
      <w:r w:rsidR="005326B2">
        <w:rPr>
          <w:rFonts w:ascii="Times New Roman" w:hAnsi="Times New Roman" w:cs="Times New Roman"/>
          <w:sz w:val="28"/>
          <w:szCs w:val="28"/>
        </w:rPr>
      </w:r>
      <w:r w:rsidR="005326B2">
        <w:rPr>
          <w:rFonts w:ascii="Times New Roman" w:hAnsi="Times New Roman" w:cs="Times New Roman"/>
          <w:sz w:val="28"/>
          <w:szCs w:val="28"/>
        </w:rPr>
        <w:fldChar w:fldCharType="separate"/>
      </w:r>
      <w:r w:rsidR="005326B2">
        <w:rPr>
          <w:rFonts w:ascii="Times New Roman" w:hAnsi="Times New Roman" w:cs="Times New Roman"/>
          <w:sz w:val="28"/>
          <w:szCs w:val="28"/>
        </w:rPr>
        <w:t>1</w:t>
      </w:r>
      <w:r w:rsidR="005326B2">
        <w:rPr>
          <w:rFonts w:ascii="Times New Roman" w:hAnsi="Times New Roman" w:cs="Times New Roman"/>
          <w:sz w:val="28"/>
          <w:szCs w:val="28"/>
        </w:rPr>
        <w:fldChar w:fldCharType="end"/>
      </w:r>
      <w:r w:rsidR="005326B2" w:rsidRPr="005326B2">
        <w:rPr>
          <w:rFonts w:ascii="Times New Roman" w:hAnsi="Times New Roman" w:cs="Times New Roman"/>
          <w:sz w:val="28"/>
          <w:szCs w:val="28"/>
        </w:rPr>
        <w:t>]</w:t>
      </w:r>
      <w:r w:rsidR="005326B2">
        <w:rPr>
          <w:rFonts w:ascii="Times New Roman" w:hAnsi="Times New Roman" w:cs="Times New Roman"/>
          <w:sz w:val="28"/>
          <w:szCs w:val="28"/>
        </w:rPr>
        <w:t xml:space="preserve"> </w:t>
      </w:r>
      <w:r>
        <w:rPr>
          <w:rFonts w:ascii="Times New Roman" w:hAnsi="Times New Roman" w:cs="Times New Roman"/>
          <w:sz w:val="28"/>
          <w:szCs w:val="28"/>
        </w:rPr>
        <w:t xml:space="preserve"> В Федеральный закон №9-ФЗ от 13.02.2025 г. вводит «период охлаждения» для кредитных операций. Согласно новым правилам, при запросе займа в диапазоне от 50 тыс</w:t>
      </w:r>
      <w:r w:rsidR="00F41731">
        <w:rPr>
          <w:rFonts w:ascii="Times New Roman" w:hAnsi="Times New Roman" w:cs="Times New Roman"/>
          <w:sz w:val="28"/>
          <w:szCs w:val="28"/>
        </w:rPr>
        <w:t>. до 200 тыс. рублей средства будут предоставлены не раньше, чем через четыре часа после одобрения заявки</w:t>
      </w:r>
      <w:r w:rsidR="005326B2">
        <w:rPr>
          <w:rFonts w:ascii="Times New Roman" w:hAnsi="Times New Roman" w:cs="Times New Roman"/>
          <w:sz w:val="28"/>
          <w:szCs w:val="28"/>
        </w:rPr>
        <w:t xml:space="preserve">. </w:t>
      </w:r>
      <w:r w:rsidR="005326B2" w:rsidRPr="005326B2">
        <w:rPr>
          <w:rFonts w:ascii="Times New Roman" w:hAnsi="Times New Roman" w:cs="Times New Roman"/>
          <w:sz w:val="28"/>
          <w:szCs w:val="28"/>
        </w:rPr>
        <w:t>[</w:t>
      </w:r>
      <w:r w:rsidR="005326B2">
        <w:rPr>
          <w:rFonts w:ascii="Times New Roman" w:hAnsi="Times New Roman" w:cs="Times New Roman"/>
          <w:sz w:val="28"/>
          <w:szCs w:val="28"/>
        </w:rPr>
        <w:fldChar w:fldCharType="begin"/>
      </w:r>
      <w:r w:rsidR="005326B2">
        <w:rPr>
          <w:rFonts w:ascii="Times New Roman" w:hAnsi="Times New Roman" w:cs="Times New Roman"/>
          <w:sz w:val="28"/>
          <w:szCs w:val="28"/>
        </w:rPr>
        <w:instrText xml:space="preserve"> REF _Ref209375931 \r \h </w:instrText>
      </w:r>
      <w:r w:rsidR="005326B2">
        <w:rPr>
          <w:rFonts w:ascii="Times New Roman" w:hAnsi="Times New Roman" w:cs="Times New Roman"/>
          <w:sz w:val="28"/>
          <w:szCs w:val="28"/>
        </w:rPr>
      </w:r>
      <w:r w:rsidR="005326B2">
        <w:rPr>
          <w:rFonts w:ascii="Times New Roman" w:hAnsi="Times New Roman" w:cs="Times New Roman"/>
          <w:sz w:val="28"/>
          <w:szCs w:val="28"/>
        </w:rPr>
        <w:fldChar w:fldCharType="separate"/>
      </w:r>
      <w:r w:rsidR="005326B2">
        <w:rPr>
          <w:rFonts w:ascii="Times New Roman" w:hAnsi="Times New Roman" w:cs="Times New Roman"/>
          <w:sz w:val="28"/>
          <w:szCs w:val="28"/>
        </w:rPr>
        <w:t>2</w:t>
      </w:r>
      <w:r w:rsidR="005326B2">
        <w:rPr>
          <w:rFonts w:ascii="Times New Roman" w:hAnsi="Times New Roman" w:cs="Times New Roman"/>
          <w:sz w:val="28"/>
          <w:szCs w:val="28"/>
        </w:rPr>
        <w:fldChar w:fldCharType="end"/>
      </w:r>
      <w:r w:rsidR="005326B2" w:rsidRPr="005326B2">
        <w:rPr>
          <w:rFonts w:ascii="Times New Roman" w:hAnsi="Times New Roman" w:cs="Times New Roman"/>
          <w:sz w:val="28"/>
          <w:szCs w:val="28"/>
        </w:rPr>
        <w:t>]</w:t>
      </w:r>
    </w:p>
    <w:p w14:paraId="180B3946" w14:textId="01C4EC69" w:rsidR="00F41731" w:rsidRDefault="00F41731" w:rsidP="00776C08">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целях борьбы с телефонным мошенничеством был принят Федеральный закон №41-ФЗ от 01.04.2025 г. Согласно Федеральному закону, начала действовать единая база голосов мошенников для отслеживания их активности. </w:t>
      </w:r>
      <w:r w:rsidR="005326B2" w:rsidRPr="005326B2">
        <w:rPr>
          <w:rFonts w:ascii="Times New Roman" w:hAnsi="Times New Roman" w:cs="Times New Roman"/>
          <w:sz w:val="28"/>
          <w:szCs w:val="28"/>
        </w:rPr>
        <w:t>[</w:t>
      </w:r>
      <w:r w:rsidR="005326B2">
        <w:rPr>
          <w:rFonts w:ascii="Times New Roman" w:hAnsi="Times New Roman" w:cs="Times New Roman"/>
          <w:sz w:val="28"/>
          <w:szCs w:val="28"/>
        </w:rPr>
        <w:fldChar w:fldCharType="begin"/>
      </w:r>
      <w:r w:rsidR="005326B2">
        <w:rPr>
          <w:rFonts w:ascii="Times New Roman" w:hAnsi="Times New Roman" w:cs="Times New Roman"/>
          <w:sz w:val="28"/>
          <w:szCs w:val="28"/>
        </w:rPr>
        <w:instrText xml:space="preserve"> REF _Ref209375941 \r \h </w:instrText>
      </w:r>
      <w:r w:rsidR="005326B2">
        <w:rPr>
          <w:rFonts w:ascii="Times New Roman" w:hAnsi="Times New Roman" w:cs="Times New Roman"/>
          <w:sz w:val="28"/>
          <w:szCs w:val="28"/>
        </w:rPr>
      </w:r>
      <w:r w:rsidR="005326B2">
        <w:rPr>
          <w:rFonts w:ascii="Times New Roman" w:hAnsi="Times New Roman" w:cs="Times New Roman"/>
          <w:sz w:val="28"/>
          <w:szCs w:val="28"/>
        </w:rPr>
        <w:fldChar w:fldCharType="separate"/>
      </w:r>
      <w:r w:rsidR="005326B2">
        <w:rPr>
          <w:rFonts w:ascii="Times New Roman" w:hAnsi="Times New Roman" w:cs="Times New Roman"/>
          <w:sz w:val="28"/>
          <w:szCs w:val="28"/>
        </w:rPr>
        <w:t>3</w:t>
      </w:r>
      <w:r w:rsidR="005326B2">
        <w:rPr>
          <w:rFonts w:ascii="Times New Roman" w:hAnsi="Times New Roman" w:cs="Times New Roman"/>
          <w:sz w:val="28"/>
          <w:szCs w:val="28"/>
        </w:rPr>
        <w:fldChar w:fldCharType="end"/>
      </w:r>
      <w:r w:rsidR="005326B2" w:rsidRPr="005326B2">
        <w:rPr>
          <w:rFonts w:ascii="Times New Roman" w:hAnsi="Times New Roman" w:cs="Times New Roman"/>
          <w:sz w:val="28"/>
          <w:szCs w:val="28"/>
        </w:rPr>
        <w:t>]</w:t>
      </w:r>
    </w:p>
    <w:p w14:paraId="5CA4358E" w14:textId="4B3D2FF7" w:rsidR="00F41731" w:rsidRDefault="00F41731" w:rsidP="00776C08">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заключение следует отметить, что данные изменения отражают комплексный подход государства в борьбе с цифровым мошенничеством. </w:t>
      </w:r>
      <w:r>
        <w:rPr>
          <w:rFonts w:ascii="Times New Roman" w:hAnsi="Times New Roman" w:cs="Times New Roman"/>
          <w:sz w:val="28"/>
          <w:szCs w:val="28"/>
        </w:rPr>
        <w:lastRenderedPageBreak/>
        <w:t xml:space="preserve">Законодательство ориентировано на создание единой системы, которая охватывает все аспекты финансовой и цифровой безопасности. </w:t>
      </w:r>
    </w:p>
    <w:p w14:paraId="08F845C0" w14:textId="1160798A" w:rsidR="00BD46EA" w:rsidRDefault="00BD46EA" w:rsidP="00BD46EA">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Несмотря на меры противодействия законодательства России, прежде всего гражданам следует быть готовым к защите своих финансовых и личных данных. Для предотвращения потерь важно систематически применять меры безопасности, которые могут сохранить данные и денежные средства. </w:t>
      </w:r>
      <w:r w:rsidR="0048787A">
        <w:rPr>
          <w:rFonts w:ascii="Times New Roman" w:hAnsi="Times New Roman" w:cs="Times New Roman"/>
          <w:sz w:val="28"/>
          <w:szCs w:val="28"/>
        </w:rPr>
        <w:t>Рассмотрим основные рекомендации, которые могут обезопасить себя от киберугроз:</w:t>
      </w:r>
    </w:p>
    <w:p w14:paraId="0FCFAF92" w14:textId="348B4538" w:rsidR="0048787A" w:rsidRDefault="0048787A" w:rsidP="0048787A">
      <w:pPr>
        <w:tabs>
          <w:tab w:val="left" w:pos="2435"/>
        </w:tabs>
        <w:spacing w:after="0" w:line="360" w:lineRule="auto"/>
        <w:ind w:firstLine="567"/>
        <w:jc w:val="both"/>
        <w:rPr>
          <w:rFonts w:ascii="Times New Roman" w:hAnsi="Times New Roman" w:cs="Times New Roman"/>
          <w:sz w:val="28"/>
          <w:szCs w:val="28"/>
        </w:rPr>
      </w:pPr>
      <w:r w:rsidRPr="0048787A">
        <w:rPr>
          <w:rFonts w:ascii="Times New Roman" w:hAnsi="Times New Roman" w:cs="Times New Roman"/>
          <w:sz w:val="28"/>
          <w:szCs w:val="28"/>
        </w:rPr>
        <w:t>1.</w:t>
      </w:r>
      <w:r>
        <w:rPr>
          <w:rFonts w:ascii="Times New Roman" w:hAnsi="Times New Roman" w:cs="Times New Roman"/>
          <w:sz w:val="28"/>
          <w:szCs w:val="28"/>
        </w:rPr>
        <w:t xml:space="preserve"> Всегда проверять информацию через официальные источники, ведь ни одна государственная структура не запрашивает личные данные по телефону или социальные сети.</w:t>
      </w:r>
    </w:p>
    <w:p w14:paraId="26CB1570" w14:textId="45866222" w:rsidR="0048787A" w:rsidRDefault="0048787A" w:rsidP="0048787A">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Создание различных паролей для разных сайтов. </w:t>
      </w:r>
      <w:r w:rsidR="005326B2" w:rsidRPr="005326B2">
        <w:rPr>
          <w:rFonts w:ascii="Times New Roman" w:hAnsi="Times New Roman" w:cs="Times New Roman"/>
          <w:sz w:val="28"/>
          <w:szCs w:val="28"/>
        </w:rPr>
        <w:t>[</w:t>
      </w:r>
      <w:r w:rsidR="005326B2">
        <w:rPr>
          <w:rFonts w:ascii="Times New Roman" w:hAnsi="Times New Roman" w:cs="Times New Roman"/>
          <w:sz w:val="28"/>
          <w:szCs w:val="28"/>
        </w:rPr>
        <w:fldChar w:fldCharType="begin"/>
      </w:r>
      <w:r w:rsidR="005326B2">
        <w:rPr>
          <w:rFonts w:ascii="Times New Roman" w:hAnsi="Times New Roman" w:cs="Times New Roman"/>
          <w:sz w:val="28"/>
          <w:szCs w:val="28"/>
        </w:rPr>
        <w:instrText xml:space="preserve"> REF _Ref209375951 \r \h </w:instrText>
      </w:r>
      <w:r w:rsidR="005326B2">
        <w:rPr>
          <w:rFonts w:ascii="Times New Roman" w:hAnsi="Times New Roman" w:cs="Times New Roman"/>
          <w:sz w:val="28"/>
          <w:szCs w:val="28"/>
        </w:rPr>
      </w:r>
      <w:r w:rsidR="005326B2">
        <w:rPr>
          <w:rFonts w:ascii="Times New Roman" w:hAnsi="Times New Roman" w:cs="Times New Roman"/>
          <w:sz w:val="28"/>
          <w:szCs w:val="28"/>
        </w:rPr>
        <w:fldChar w:fldCharType="separate"/>
      </w:r>
      <w:r w:rsidR="005326B2">
        <w:rPr>
          <w:rFonts w:ascii="Times New Roman" w:hAnsi="Times New Roman" w:cs="Times New Roman"/>
          <w:sz w:val="28"/>
          <w:szCs w:val="28"/>
        </w:rPr>
        <w:t>4</w:t>
      </w:r>
      <w:r w:rsidR="005326B2">
        <w:rPr>
          <w:rFonts w:ascii="Times New Roman" w:hAnsi="Times New Roman" w:cs="Times New Roman"/>
          <w:sz w:val="28"/>
          <w:szCs w:val="28"/>
        </w:rPr>
        <w:fldChar w:fldCharType="end"/>
      </w:r>
      <w:r w:rsidR="005326B2">
        <w:rPr>
          <w:rFonts w:ascii="Times New Roman" w:hAnsi="Times New Roman" w:cs="Times New Roman"/>
          <w:sz w:val="28"/>
          <w:szCs w:val="28"/>
        </w:rPr>
        <w:t>, 3</w:t>
      </w:r>
      <w:r w:rsidR="005326B2" w:rsidRPr="005326B2">
        <w:rPr>
          <w:rFonts w:ascii="Times New Roman" w:hAnsi="Times New Roman" w:cs="Times New Roman"/>
          <w:sz w:val="28"/>
          <w:szCs w:val="28"/>
        </w:rPr>
        <w:t>]</w:t>
      </w:r>
      <w:r>
        <w:rPr>
          <w:rFonts w:ascii="Times New Roman" w:hAnsi="Times New Roman" w:cs="Times New Roman"/>
          <w:sz w:val="28"/>
          <w:szCs w:val="28"/>
        </w:rPr>
        <w:t xml:space="preserve"> К тому же, следует обязательно использовать двухфакторную аутентификацию для личных кабинетов сайтов. </w:t>
      </w:r>
    </w:p>
    <w:p w14:paraId="5BB283E3" w14:textId="77777777" w:rsidR="0048787A" w:rsidRDefault="0048787A" w:rsidP="0048787A">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3. Избегать переход по ссылкам в сообщениях. Так как фишинговые ресурсы часто имитируют официальные сайты банков и госучреждений.</w:t>
      </w:r>
    </w:p>
    <w:p w14:paraId="04619B60" w14:textId="0782CED2" w:rsidR="0048787A" w:rsidRDefault="0048787A" w:rsidP="0048787A">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4. </w:t>
      </w:r>
      <w:r w:rsidR="00B57C3C">
        <w:rPr>
          <w:rFonts w:ascii="Times New Roman" w:hAnsi="Times New Roman" w:cs="Times New Roman"/>
          <w:sz w:val="28"/>
          <w:szCs w:val="28"/>
        </w:rPr>
        <w:t>Повышать уровень цифровой грамотности.</w:t>
      </w:r>
      <w:r w:rsidR="005326B2">
        <w:rPr>
          <w:rFonts w:ascii="Times New Roman" w:hAnsi="Times New Roman" w:cs="Times New Roman"/>
          <w:sz w:val="28"/>
          <w:szCs w:val="28"/>
        </w:rPr>
        <w:t xml:space="preserve"> </w:t>
      </w:r>
      <w:r w:rsidR="005326B2" w:rsidRPr="005326B2">
        <w:rPr>
          <w:rFonts w:ascii="Times New Roman" w:hAnsi="Times New Roman" w:cs="Times New Roman"/>
          <w:sz w:val="28"/>
          <w:szCs w:val="28"/>
        </w:rPr>
        <w:t>[</w:t>
      </w:r>
      <w:r w:rsidR="005326B2">
        <w:rPr>
          <w:rFonts w:ascii="Times New Roman" w:hAnsi="Times New Roman" w:cs="Times New Roman"/>
          <w:sz w:val="28"/>
          <w:szCs w:val="28"/>
        </w:rPr>
        <w:fldChar w:fldCharType="begin"/>
      </w:r>
      <w:r w:rsidR="005326B2">
        <w:rPr>
          <w:rFonts w:ascii="Times New Roman" w:hAnsi="Times New Roman" w:cs="Times New Roman"/>
          <w:sz w:val="28"/>
          <w:szCs w:val="28"/>
        </w:rPr>
        <w:instrText xml:space="preserve"> REF _Ref209375973 \r \h </w:instrText>
      </w:r>
      <w:r w:rsidR="005326B2">
        <w:rPr>
          <w:rFonts w:ascii="Times New Roman" w:hAnsi="Times New Roman" w:cs="Times New Roman"/>
          <w:sz w:val="28"/>
          <w:szCs w:val="28"/>
        </w:rPr>
      </w:r>
      <w:r w:rsidR="005326B2">
        <w:rPr>
          <w:rFonts w:ascii="Times New Roman" w:hAnsi="Times New Roman" w:cs="Times New Roman"/>
          <w:sz w:val="28"/>
          <w:szCs w:val="28"/>
        </w:rPr>
        <w:fldChar w:fldCharType="separate"/>
      </w:r>
      <w:r w:rsidR="005326B2">
        <w:rPr>
          <w:rFonts w:ascii="Times New Roman" w:hAnsi="Times New Roman" w:cs="Times New Roman"/>
          <w:sz w:val="28"/>
          <w:szCs w:val="28"/>
        </w:rPr>
        <w:t>7</w:t>
      </w:r>
      <w:r w:rsidR="005326B2">
        <w:rPr>
          <w:rFonts w:ascii="Times New Roman" w:hAnsi="Times New Roman" w:cs="Times New Roman"/>
          <w:sz w:val="28"/>
          <w:szCs w:val="28"/>
        </w:rPr>
        <w:fldChar w:fldCharType="end"/>
      </w:r>
      <w:r w:rsidR="005326B2">
        <w:rPr>
          <w:rFonts w:ascii="Times New Roman" w:hAnsi="Times New Roman" w:cs="Times New Roman"/>
          <w:sz w:val="28"/>
          <w:szCs w:val="28"/>
        </w:rPr>
        <w:t>, 144</w:t>
      </w:r>
      <w:r w:rsidR="005326B2" w:rsidRPr="005326B2">
        <w:rPr>
          <w:rFonts w:ascii="Times New Roman" w:hAnsi="Times New Roman" w:cs="Times New Roman"/>
          <w:sz w:val="28"/>
          <w:szCs w:val="28"/>
        </w:rPr>
        <w:t>]</w:t>
      </w:r>
      <w:r w:rsidR="005326B2">
        <w:rPr>
          <w:rFonts w:ascii="Times New Roman" w:hAnsi="Times New Roman" w:cs="Times New Roman"/>
          <w:sz w:val="28"/>
          <w:szCs w:val="28"/>
        </w:rPr>
        <w:t xml:space="preserve"> </w:t>
      </w:r>
      <w:r w:rsidR="00B57C3C">
        <w:rPr>
          <w:rFonts w:ascii="Times New Roman" w:hAnsi="Times New Roman" w:cs="Times New Roman"/>
          <w:sz w:val="28"/>
          <w:szCs w:val="28"/>
        </w:rPr>
        <w:t xml:space="preserve">Необходимо интегрировать в школьную программу, организовывать семинары для возвратных групп. </w:t>
      </w:r>
    </w:p>
    <w:p w14:paraId="32F3AB5D" w14:textId="1F77C081" w:rsidR="008C51A0" w:rsidRDefault="008C51A0" w:rsidP="0048787A">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5. Никогда не раскрывать коды из СМС-сообщений и банковские реквизиты третьим лицам, даже если они представляются сотрудниками банка. Официальные организации не запрашивают эту информацию.</w:t>
      </w:r>
    </w:p>
    <w:p w14:paraId="1E5DEB39" w14:textId="73201D4B" w:rsidR="008C51A0" w:rsidRDefault="008C51A0" w:rsidP="0048787A">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6. Не верить в «специальные выплаты», в особенности людям пожилого возраста. Так как выплаты пенсионерам всегда подтверждаются через Социальный Фонд.</w:t>
      </w:r>
    </w:p>
    <w:p w14:paraId="44C2E7C1" w14:textId="1E2F69F7" w:rsidR="008C51A0" w:rsidRDefault="008C51A0" w:rsidP="0048787A">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7. Не сдавать документы по телефону, лучше проверить лично посетить, например, многофункциональный центр или банк.</w:t>
      </w:r>
    </w:p>
    <w:p w14:paraId="6B76879C" w14:textId="0C8B0066" w:rsidR="008C51A0" w:rsidRDefault="008C51A0" w:rsidP="0048787A">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8. Сообщать о подозрительных звонках в банк или правоохранительные органы, так как своевременное обращение помогает пресечь мошеннические схемы.</w:t>
      </w:r>
    </w:p>
    <w:p w14:paraId="4F384A6D" w14:textId="77777777" w:rsidR="00B57C3C" w:rsidRDefault="00B57C3C" w:rsidP="00B57C3C">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9. Устанавливать приложения только из официальных магазинов. Поддельные версии могут содержать вредоносный код, дающий доступ к вашим данным.  </w:t>
      </w:r>
    </w:p>
    <w:p w14:paraId="075AA92F" w14:textId="44B2D862" w:rsidR="00B57C3C" w:rsidRDefault="00B57C3C" w:rsidP="0048787A">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10. Проверять аккаунты через официальные каналы – мошенники создают фальшивые страницы руководителей Банка России или государственных структур.</w:t>
      </w:r>
    </w:p>
    <w:p w14:paraId="2ED36125" w14:textId="6024FF34" w:rsidR="00B57C3C" w:rsidRDefault="00B57C3C" w:rsidP="0048787A">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11. Не доверять «проверки утечки данных», так как настоящие банки не просят вводить реквизиты карты для проверки безопасности. Всегда стоит проверять через личный кабинет банка.</w:t>
      </w:r>
    </w:p>
    <w:p w14:paraId="10414341" w14:textId="5EA88C54" w:rsidR="00B57C3C" w:rsidRDefault="00B57C3C" w:rsidP="0048787A">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12. Повышать уровень финансовой грамотности. Вводить обязательные занятия в общеобразовательные учебные заведения, повышать информированность населения об услугах и продукта финансового рынка. </w:t>
      </w:r>
      <w:r w:rsidR="005326B2" w:rsidRPr="005326B2">
        <w:rPr>
          <w:rFonts w:ascii="Times New Roman" w:hAnsi="Times New Roman" w:cs="Times New Roman"/>
          <w:sz w:val="28"/>
          <w:szCs w:val="28"/>
        </w:rPr>
        <w:t>[</w:t>
      </w:r>
      <w:r w:rsidR="005326B2">
        <w:rPr>
          <w:rFonts w:ascii="Times New Roman" w:hAnsi="Times New Roman" w:cs="Times New Roman"/>
          <w:sz w:val="28"/>
          <w:szCs w:val="28"/>
        </w:rPr>
        <w:fldChar w:fldCharType="begin"/>
      </w:r>
      <w:r w:rsidR="005326B2">
        <w:rPr>
          <w:rFonts w:ascii="Times New Roman" w:hAnsi="Times New Roman" w:cs="Times New Roman"/>
          <w:sz w:val="28"/>
          <w:szCs w:val="28"/>
        </w:rPr>
        <w:instrText xml:space="preserve"> REF _Ref209376001 \r \h </w:instrText>
      </w:r>
      <w:r w:rsidR="005326B2">
        <w:rPr>
          <w:rFonts w:ascii="Times New Roman" w:hAnsi="Times New Roman" w:cs="Times New Roman"/>
          <w:sz w:val="28"/>
          <w:szCs w:val="28"/>
        </w:rPr>
      </w:r>
      <w:r w:rsidR="005326B2">
        <w:rPr>
          <w:rFonts w:ascii="Times New Roman" w:hAnsi="Times New Roman" w:cs="Times New Roman"/>
          <w:sz w:val="28"/>
          <w:szCs w:val="28"/>
        </w:rPr>
        <w:fldChar w:fldCharType="separate"/>
      </w:r>
      <w:r w:rsidR="005326B2">
        <w:rPr>
          <w:rFonts w:ascii="Times New Roman" w:hAnsi="Times New Roman" w:cs="Times New Roman"/>
          <w:sz w:val="28"/>
          <w:szCs w:val="28"/>
        </w:rPr>
        <w:t>5</w:t>
      </w:r>
      <w:r w:rsidR="005326B2">
        <w:rPr>
          <w:rFonts w:ascii="Times New Roman" w:hAnsi="Times New Roman" w:cs="Times New Roman"/>
          <w:sz w:val="28"/>
          <w:szCs w:val="28"/>
        </w:rPr>
        <w:fldChar w:fldCharType="end"/>
      </w:r>
      <w:r w:rsidR="005326B2">
        <w:rPr>
          <w:rFonts w:ascii="Times New Roman" w:hAnsi="Times New Roman" w:cs="Times New Roman"/>
          <w:sz w:val="28"/>
          <w:szCs w:val="28"/>
        </w:rPr>
        <w:t>, 48</w:t>
      </w:r>
      <w:r w:rsidR="005326B2" w:rsidRPr="005326B2">
        <w:rPr>
          <w:rFonts w:ascii="Times New Roman" w:hAnsi="Times New Roman" w:cs="Times New Roman"/>
          <w:sz w:val="28"/>
          <w:szCs w:val="28"/>
        </w:rPr>
        <w:t>]</w:t>
      </w:r>
    </w:p>
    <w:p w14:paraId="0538D054" w14:textId="153A0CCF" w:rsidR="00CF1573" w:rsidRDefault="00CF1573" w:rsidP="0048787A">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Таким образом, интернет-безопасность в сегодняшний день играет важнейшую роль в жизни каждого гражданина. Стоит повышать финансовую и цифровую грамотность не только себя, но и информировать своих друзей, родственников и знакомых, особенно с пожилым людям, которые частот становятся мишенью для злоумышленников. Совместные усилия государственных структур и граждан помогут создать более безопасную цифровую среду.   </w:t>
      </w:r>
    </w:p>
    <w:p w14:paraId="6D55AE9C" w14:textId="77777777" w:rsidR="00CF1573" w:rsidRPr="008C51A0" w:rsidRDefault="00CF1573" w:rsidP="0048787A">
      <w:pPr>
        <w:tabs>
          <w:tab w:val="left" w:pos="2435"/>
        </w:tabs>
        <w:spacing w:after="0" w:line="360" w:lineRule="auto"/>
        <w:ind w:firstLine="567"/>
        <w:jc w:val="both"/>
        <w:rPr>
          <w:rFonts w:ascii="Times New Roman" w:hAnsi="Times New Roman" w:cs="Times New Roman"/>
          <w:sz w:val="28"/>
          <w:szCs w:val="28"/>
        </w:rPr>
      </w:pPr>
    </w:p>
    <w:p w14:paraId="70AC83D4" w14:textId="77777777" w:rsidR="005326B2" w:rsidRDefault="009C7E47" w:rsidP="005326B2">
      <w:pPr>
        <w:tabs>
          <w:tab w:val="left" w:pos="2435"/>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СПИСОК ЛИТЕРАТУРЫ</w:t>
      </w:r>
    </w:p>
    <w:p w14:paraId="176DCBE9" w14:textId="77777777" w:rsidR="005326B2" w:rsidRDefault="00214EE1" w:rsidP="005326B2">
      <w:pPr>
        <w:pStyle w:val="a7"/>
        <w:numPr>
          <w:ilvl w:val="0"/>
          <w:numId w:val="4"/>
        </w:numPr>
        <w:tabs>
          <w:tab w:val="left" w:pos="2435"/>
        </w:tabs>
        <w:spacing w:after="0" w:line="360" w:lineRule="auto"/>
        <w:ind w:left="567" w:hanging="567"/>
        <w:jc w:val="both"/>
        <w:rPr>
          <w:rFonts w:ascii="Times New Roman" w:hAnsi="Times New Roman" w:cs="Times New Roman"/>
          <w:sz w:val="28"/>
          <w:szCs w:val="28"/>
        </w:rPr>
      </w:pPr>
      <w:bookmarkStart w:id="0" w:name="_Ref209375893"/>
      <w:r w:rsidRPr="005326B2">
        <w:rPr>
          <w:rFonts w:ascii="Times New Roman" w:hAnsi="Times New Roman" w:cs="Times New Roman"/>
          <w:sz w:val="28"/>
          <w:szCs w:val="28"/>
        </w:rPr>
        <w:t xml:space="preserve">О внесении изменений в Федеральный закон "О кредитных историях" и Федеральный закон "О потребительском кредите (займе)" : Федеральный закон от 26.02.2024 N 31-ФЗ // Консультант Плюс : справочно-правовая система : [сайт]. – </w:t>
      </w:r>
      <w:r w:rsidRPr="005326B2">
        <w:rPr>
          <w:rFonts w:ascii="Times New Roman" w:hAnsi="Times New Roman" w:cs="Times New Roman"/>
          <w:sz w:val="28"/>
          <w:szCs w:val="28"/>
          <w:lang w:val="en-US"/>
        </w:rPr>
        <w:t>URL</w:t>
      </w:r>
      <w:r w:rsidRPr="005326B2">
        <w:rPr>
          <w:rFonts w:ascii="Times New Roman" w:hAnsi="Times New Roman" w:cs="Times New Roman"/>
          <w:sz w:val="28"/>
          <w:szCs w:val="28"/>
        </w:rPr>
        <w:t xml:space="preserve">: </w:t>
      </w:r>
      <w:hyperlink r:id="rId8" w:history="1">
        <w:r w:rsidRPr="005326B2">
          <w:rPr>
            <w:rStyle w:val="ad"/>
            <w:rFonts w:ascii="Times New Roman" w:hAnsi="Times New Roman" w:cs="Times New Roman"/>
            <w:sz w:val="28"/>
            <w:szCs w:val="28"/>
          </w:rPr>
          <w:t>https://www.consultant.ru/document/cons_doc_LAW_470604/</w:t>
        </w:r>
      </w:hyperlink>
      <w:bookmarkEnd w:id="0"/>
    </w:p>
    <w:p w14:paraId="5F2AF992" w14:textId="77777777" w:rsidR="005326B2" w:rsidRDefault="00214EE1" w:rsidP="005326B2">
      <w:pPr>
        <w:pStyle w:val="a7"/>
        <w:numPr>
          <w:ilvl w:val="0"/>
          <w:numId w:val="4"/>
        </w:numPr>
        <w:tabs>
          <w:tab w:val="left" w:pos="2435"/>
        </w:tabs>
        <w:spacing w:after="0" w:line="360" w:lineRule="auto"/>
        <w:ind w:left="567" w:hanging="567"/>
        <w:jc w:val="both"/>
        <w:rPr>
          <w:rFonts w:ascii="Times New Roman" w:hAnsi="Times New Roman" w:cs="Times New Roman"/>
          <w:sz w:val="28"/>
          <w:szCs w:val="28"/>
        </w:rPr>
      </w:pPr>
      <w:bookmarkStart w:id="1" w:name="_Ref209375931"/>
      <w:r w:rsidRPr="005326B2">
        <w:rPr>
          <w:rFonts w:ascii="Times New Roman" w:hAnsi="Times New Roman" w:cs="Times New Roman"/>
          <w:sz w:val="28"/>
          <w:szCs w:val="28"/>
        </w:rPr>
        <w:t xml:space="preserve">О внесении изменений в отдельные законодательные акты Российской Федерации : Федеральный закон от 13.02.2025 N 9-ФЗ // Консультант Плюс : справочно-правовая система : [сайт]. – </w:t>
      </w:r>
      <w:r w:rsidRPr="005326B2">
        <w:rPr>
          <w:rFonts w:ascii="Times New Roman" w:hAnsi="Times New Roman" w:cs="Times New Roman"/>
          <w:sz w:val="28"/>
          <w:szCs w:val="28"/>
          <w:lang w:val="en-US"/>
        </w:rPr>
        <w:t>URL</w:t>
      </w:r>
      <w:r w:rsidRPr="005326B2">
        <w:rPr>
          <w:rFonts w:ascii="Times New Roman" w:hAnsi="Times New Roman" w:cs="Times New Roman"/>
          <w:sz w:val="28"/>
          <w:szCs w:val="28"/>
        </w:rPr>
        <w:t xml:space="preserve">: </w:t>
      </w:r>
      <w:hyperlink r:id="rId9" w:history="1">
        <w:r w:rsidRPr="005326B2">
          <w:rPr>
            <w:rStyle w:val="ad"/>
            <w:rFonts w:ascii="Times New Roman" w:hAnsi="Times New Roman" w:cs="Times New Roman"/>
            <w:sz w:val="28"/>
            <w:szCs w:val="28"/>
          </w:rPr>
          <w:t>https://www.consultant.ru/document/cons_doc_LAW_498604/</w:t>
        </w:r>
      </w:hyperlink>
      <w:bookmarkEnd w:id="1"/>
    </w:p>
    <w:p w14:paraId="5B3ABB59" w14:textId="77777777" w:rsidR="005326B2" w:rsidRDefault="00214EE1" w:rsidP="005326B2">
      <w:pPr>
        <w:pStyle w:val="a7"/>
        <w:numPr>
          <w:ilvl w:val="0"/>
          <w:numId w:val="4"/>
        </w:numPr>
        <w:tabs>
          <w:tab w:val="left" w:pos="2435"/>
        </w:tabs>
        <w:spacing w:after="0" w:line="360" w:lineRule="auto"/>
        <w:ind w:left="567" w:hanging="567"/>
        <w:jc w:val="both"/>
        <w:rPr>
          <w:rFonts w:ascii="Times New Roman" w:hAnsi="Times New Roman" w:cs="Times New Roman"/>
          <w:sz w:val="28"/>
          <w:szCs w:val="28"/>
        </w:rPr>
      </w:pPr>
      <w:bookmarkStart w:id="2" w:name="_Ref209375941"/>
      <w:r w:rsidRPr="005326B2">
        <w:rPr>
          <w:rFonts w:ascii="Times New Roman" w:hAnsi="Times New Roman" w:cs="Times New Roman"/>
          <w:sz w:val="28"/>
          <w:szCs w:val="28"/>
        </w:rPr>
        <w:lastRenderedPageBreak/>
        <w:t xml:space="preserve">О создании государственной информационной системы противодействия правонарушениям, совершаемым с использованием информационных и коммуникационных технологий, и о внесении изменений в отдельные законодательные акты Российской Федерации : Федеральный закон от 01.04.2025 N 41-ФЗ // Консультант Плюс : справочно-правовая система : [сайт]. – </w:t>
      </w:r>
      <w:r w:rsidRPr="005326B2">
        <w:rPr>
          <w:rFonts w:ascii="Times New Roman" w:hAnsi="Times New Roman" w:cs="Times New Roman"/>
          <w:sz w:val="28"/>
          <w:szCs w:val="28"/>
          <w:lang w:val="en-US"/>
        </w:rPr>
        <w:t>URL</w:t>
      </w:r>
      <w:r w:rsidRPr="005326B2">
        <w:rPr>
          <w:rFonts w:ascii="Times New Roman" w:hAnsi="Times New Roman" w:cs="Times New Roman"/>
          <w:sz w:val="28"/>
          <w:szCs w:val="28"/>
        </w:rPr>
        <w:t xml:space="preserve">: </w:t>
      </w:r>
      <w:hyperlink r:id="rId10" w:history="1">
        <w:r w:rsidRPr="005326B2">
          <w:rPr>
            <w:rStyle w:val="ad"/>
            <w:rFonts w:ascii="Times New Roman" w:hAnsi="Times New Roman" w:cs="Times New Roman"/>
            <w:sz w:val="28"/>
            <w:szCs w:val="28"/>
          </w:rPr>
          <w:t>https://www.consultant.ru/document/cons_doc_LAW_502182/</w:t>
        </w:r>
      </w:hyperlink>
      <w:bookmarkEnd w:id="2"/>
      <w:r w:rsidRPr="005326B2">
        <w:rPr>
          <w:rFonts w:ascii="Times New Roman" w:hAnsi="Times New Roman" w:cs="Times New Roman"/>
          <w:sz w:val="28"/>
          <w:szCs w:val="28"/>
        </w:rPr>
        <w:t xml:space="preserve"> </w:t>
      </w:r>
    </w:p>
    <w:p w14:paraId="2ADA4115" w14:textId="77777777" w:rsidR="005326B2" w:rsidRDefault="0048787A" w:rsidP="005326B2">
      <w:pPr>
        <w:pStyle w:val="a7"/>
        <w:numPr>
          <w:ilvl w:val="0"/>
          <w:numId w:val="4"/>
        </w:numPr>
        <w:tabs>
          <w:tab w:val="left" w:pos="2435"/>
        </w:tabs>
        <w:spacing w:after="0" w:line="360" w:lineRule="auto"/>
        <w:ind w:left="567" w:hanging="567"/>
        <w:jc w:val="both"/>
        <w:rPr>
          <w:rFonts w:ascii="Times New Roman" w:hAnsi="Times New Roman" w:cs="Times New Roman"/>
          <w:sz w:val="28"/>
          <w:szCs w:val="28"/>
        </w:rPr>
      </w:pPr>
      <w:bookmarkStart w:id="3" w:name="_Ref209375951"/>
      <w:r w:rsidRPr="005326B2">
        <w:rPr>
          <w:rFonts w:ascii="Times New Roman" w:hAnsi="Times New Roman" w:cs="Times New Roman"/>
          <w:sz w:val="28"/>
          <w:szCs w:val="28"/>
        </w:rPr>
        <w:t xml:space="preserve">Востриков, Д. С. Цифровое мошенничество в финансовой сфере / Д. С. Востриков // Сборник материалов LII Всероссийской итоговой студенческой научной конференции </w:t>
      </w:r>
      <w:proofErr w:type="spellStart"/>
      <w:r w:rsidRPr="005326B2">
        <w:rPr>
          <w:rFonts w:ascii="Times New Roman" w:hAnsi="Times New Roman" w:cs="Times New Roman"/>
          <w:sz w:val="28"/>
          <w:szCs w:val="28"/>
        </w:rPr>
        <w:t>ИЭиУ</w:t>
      </w:r>
      <w:proofErr w:type="spellEnd"/>
      <w:r w:rsidRPr="005326B2">
        <w:rPr>
          <w:rFonts w:ascii="Times New Roman" w:hAnsi="Times New Roman" w:cs="Times New Roman"/>
          <w:sz w:val="28"/>
          <w:szCs w:val="28"/>
        </w:rPr>
        <w:t xml:space="preserve"> ФГБОУ ВО "</w:t>
      </w:r>
      <w:proofErr w:type="spellStart"/>
      <w:r w:rsidRPr="005326B2">
        <w:rPr>
          <w:rFonts w:ascii="Times New Roman" w:hAnsi="Times New Roman" w:cs="Times New Roman"/>
          <w:sz w:val="28"/>
          <w:szCs w:val="28"/>
        </w:rPr>
        <w:t>УдГУ</w:t>
      </w:r>
      <w:proofErr w:type="spellEnd"/>
      <w:r w:rsidRPr="005326B2">
        <w:rPr>
          <w:rFonts w:ascii="Times New Roman" w:hAnsi="Times New Roman" w:cs="Times New Roman"/>
          <w:sz w:val="28"/>
          <w:szCs w:val="28"/>
        </w:rPr>
        <w:t>" : Материалы конференции, Ижевск, 24–27 апреля 2024 года. – Ижевск: Федеральное государственное бюджетное образовательное учреждение  высшего профессионального образования "Удмуртский государственный университет", 2024. – С. 29-33. – EDN VQGFOV.</w:t>
      </w:r>
      <w:bookmarkEnd w:id="3"/>
    </w:p>
    <w:p w14:paraId="3D9CDEBC" w14:textId="77777777" w:rsidR="005326B2" w:rsidRDefault="00CF1573" w:rsidP="005326B2">
      <w:pPr>
        <w:pStyle w:val="a7"/>
        <w:numPr>
          <w:ilvl w:val="0"/>
          <w:numId w:val="4"/>
        </w:numPr>
        <w:tabs>
          <w:tab w:val="left" w:pos="2435"/>
        </w:tabs>
        <w:spacing w:after="0" w:line="360" w:lineRule="auto"/>
        <w:ind w:left="567" w:hanging="567"/>
        <w:jc w:val="both"/>
        <w:rPr>
          <w:rFonts w:ascii="Times New Roman" w:hAnsi="Times New Roman" w:cs="Times New Roman"/>
          <w:sz w:val="28"/>
          <w:szCs w:val="28"/>
        </w:rPr>
      </w:pPr>
      <w:bookmarkStart w:id="4" w:name="_Ref209376001"/>
      <w:proofErr w:type="spellStart"/>
      <w:r w:rsidRPr="005326B2">
        <w:rPr>
          <w:rFonts w:ascii="Times New Roman" w:hAnsi="Times New Roman" w:cs="Times New Roman"/>
          <w:sz w:val="28"/>
          <w:szCs w:val="28"/>
        </w:rPr>
        <w:t>Дугаржапова</w:t>
      </w:r>
      <w:proofErr w:type="spellEnd"/>
      <w:r w:rsidRPr="005326B2">
        <w:rPr>
          <w:rFonts w:ascii="Times New Roman" w:hAnsi="Times New Roman" w:cs="Times New Roman"/>
          <w:sz w:val="28"/>
          <w:szCs w:val="28"/>
        </w:rPr>
        <w:t xml:space="preserve"> М.А,, Одоева О.И., Батуева Д.Д., Иванова М.Д. Актуальные вопросы повышения финансовой грамотности населения Республики Бурятия // Вестник Бурятского государственного университета. Экономика и менеджмент. 2019. №3. С.40-48.</w:t>
      </w:r>
      <w:bookmarkEnd w:id="4"/>
    </w:p>
    <w:p w14:paraId="2C3D47A3" w14:textId="77777777" w:rsidR="005326B2" w:rsidRDefault="00384194" w:rsidP="005326B2">
      <w:pPr>
        <w:pStyle w:val="a7"/>
        <w:numPr>
          <w:ilvl w:val="0"/>
          <w:numId w:val="4"/>
        </w:numPr>
        <w:tabs>
          <w:tab w:val="left" w:pos="2435"/>
        </w:tabs>
        <w:spacing w:after="0" w:line="360" w:lineRule="auto"/>
        <w:ind w:left="567" w:hanging="567"/>
        <w:jc w:val="both"/>
        <w:rPr>
          <w:rFonts w:ascii="Times New Roman" w:hAnsi="Times New Roman" w:cs="Times New Roman"/>
          <w:sz w:val="28"/>
          <w:szCs w:val="28"/>
        </w:rPr>
      </w:pPr>
      <w:bookmarkStart w:id="5" w:name="_Ref209375831"/>
      <w:proofErr w:type="spellStart"/>
      <w:r w:rsidRPr="005326B2">
        <w:rPr>
          <w:rFonts w:ascii="Times New Roman" w:hAnsi="Times New Roman" w:cs="Times New Roman"/>
          <w:sz w:val="28"/>
          <w:szCs w:val="28"/>
        </w:rPr>
        <w:t>Купка</w:t>
      </w:r>
      <w:proofErr w:type="spellEnd"/>
      <w:r w:rsidRPr="005326B2">
        <w:rPr>
          <w:rFonts w:ascii="Times New Roman" w:hAnsi="Times New Roman" w:cs="Times New Roman"/>
          <w:sz w:val="28"/>
          <w:szCs w:val="28"/>
        </w:rPr>
        <w:t xml:space="preserve">, И. П. Дипфейк как информационное оружие современности / И. П. </w:t>
      </w:r>
      <w:proofErr w:type="spellStart"/>
      <w:r w:rsidRPr="005326B2">
        <w:rPr>
          <w:rFonts w:ascii="Times New Roman" w:hAnsi="Times New Roman" w:cs="Times New Roman"/>
          <w:sz w:val="28"/>
          <w:szCs w:val="28"/>
        </w:rPr>
        <w:t>Купка</w:t>
      </w:r>
      <w:proofErr w:type="spellEnd"/>
      <w:r w:rsidRPr="005326B2">
        <w:rPr>
          <w:rFonts w:ascii="Times New Roman" w:hAnsi="Times New Roman" w:cs="Times New Roman"/>
          <w:sz w:val="28"/>
          <w:szCs w:val="28"/>
        </w:rPr>
        <w:t>, С. С. Щербаков // Динамика медиасистем. – 2023. – Т. 3, № 1. – С. 375-381. – EDN IAHENL.</w:t>
      </w:r>
      <w:bookmarkEnd w:id="5"/>
    </w:p>
    <w:p w14:paraId="467D440A" w14:textId="77777777" w:rsidR="005326B2" w:rsidRDefault="00B57C3C" w:rsidP="005326B2">
      <w:pPr>
        <w:pStyle w:val="a7"/>
        <w:numPr>
          <w:ilvl w:val="0"/>
          <w:numId w:val="4"/>
        </w:numPr>
        <w:tabs>
          <w:tab w:val="left" w:pos="2435"/>
        </w:tabs>
        <w:spacing w:after="0" w:line="360" w:lineRule="auto"/>
        <w:ind w:left="567" w:hanging="567"/>
        <w:jc w:val="both"/>
        <w:rPr>
          <w:rFonts w:ascii="Times New Roman" w:hAnsi="Times New Roman" w:cs="Times New Roman"/>
          <w:sz w:val="28"/>
          <w:szCs w:val="28"/>
        </w:rPr>
      </w:pPr>
      <w:bookmarkStart w:id="6" w:name="_Ref209375973"/>
      <w:r w:rsidRPr="005326B2">
        <w:rPr>
          <w:rFonts w:ascii="Times New Roman" w:hAnsi="Times New Roman" w:cs="Times New Roman"/>
          <w:sz w:val="28"/>
          <w:szCs w:val="28"/>
        </w:rPr>
        <w:t>Орлова, Л. В. Интернет-мошенничество: вызов цифровой безопасности и пути его преодоления / Л. В. Орлова, А. М. Козлов // Тенденции развития науки и образования. – 2025. – № 122-2. – С. 142-145. – EDN IVBHQS.</w:t>
      </w:r>
      <w:bookmarkEnd w:id="6"/>
    </w:p>
    <w:p w14:paraId="450C1C0C" w14:textId="75C0F1F5" w:rsidR="005326B2" w:rsidRDefault="00E01A16" w:rsidP="005326B2">
      <w:pPr>
        <w:pStyle w:val="a7"/>
        <w:numPr>
          <w:ilvl w:val="0"/>
          <w:numId w:val="4"/>
        </w:numPr>
        <w:tabs>
          <w:tab w:val="left" w:pos="2435"/>
        </w:tabs>
        <w:spacing w:after="0" w:line="360" w:lineRule="auto"/>
        <w:ind w:left="567" w:hanging="567"/>
        <w:jc w:val="both"/>
        <w:rPr>
          <w:rFonts w:ascii="Times New Roman" w:hAnsi="Times New Roman" w:cs="Times New Roman"/>
          <w:sz w:val="28"/>
          <w:szCs w:val="28"/>
        </w:rPr>
      </w:pPr>
      <w:bookmarkStart w:id="7" w:name="_Ref209375805"/>
      <w:r w:rsidRPr="005326B2">
        <w:rPr>
          <w:rFonts w:ascii="Times New Roman" w:hAnsi="Times New Roman" w:cs="Times New Roman"/>
          <w:sz w:val="28"/>
          <w:szCs w:val="28"/>
        </w:rPr>
        <w:t xml:space="preserve">Кибермошенничество: портрет пострадавшего [Электронный ресурс] // Официальный сайт Центрального банка Российской Федерации. – 2024. – URL: </w:t>
      </w:r>
      <w:r w:rsidR="00214EE1" w:rsidRPr="005326B2">
        <w:rPr>
          <w:rFonts w:ascii="Times New Roman" w:hAnsi="Times New Roman" w:cs="Times New Roman"/>
          <w:sz w:val="28"/>
          <w:szCs w:val="28"/>
        </w:rPr>
        <w:t xml:space="preserve">https://cbr.ru/statistics/information_security/cyber_portrait/2024/  </w:t>
      </w:r>
      <w:r w:rsidRPr="005326B2">
        <w:rPr>
          <w:rFonts w:ascii="Times New Roman" w:hAnsi="Times New Roman" w:cs="Times New Roman"/>
          <w:sz w:val="28"/>
          <w:szCs w:val="28"/>
        </w:rPr>
        <w:t xml:space="preserve">(дата обращения: </w:t>
      </w:r>
      <w:r w:rsidR="00160770">
        <w:rPr>
          <w:rFonts w:ascii="Times New Roman" w:hAnsi="Times New Roman" w:cs="Times New Roman"/>
          <w:sz w:val="28"/>
          <w:szCs w:val="28"/>
        </w:rPr>
        <w:t>15</w:t>
      </w:r>
      <w:r w:rsidRPr="005326B2">
        <w:rPr>
          <w:rFonts w:ascii="Times New Roman" w:hAnsi="Times New Roman" w:cs="Times New Roman"/>
          <w:sz w:val="28"/>
          <w:szCs w:val="28"/>
        </w:rPr>
        <w:t>.0</w:t>
      </w:r>
      <w:r w:rsidR="00160770">
        <w:rPr>
          <w:rFonts w:ascii="Times New Roman" w:hAnsi="Times New Roman" w:cs="Times New Roman"/>
          <w:sz w:val="28"/>
          <w:szCs w:val="28"/>
        </w:rPr>
        <w:t>9</w:t>
      </w:r>
      <w:r w:rsidRPr="005326B2">
        <w:rPr>
          <w:rFonts w:ascii="Times New Roman" w:hAnsi="Times New Roman" w:cs="Times New Roman"/>
          <w:sz w:val="28"/>
          <w:szCs w:val="28"/>
        </w:rPr>
        <w:t>.2025).</w:t>
      </w:r>
      <w:bookmarkEnd w:id="7"/>
    </w:p>
    <w:p w14:paraId="3B5DC5EC" w14:textId="630D40CA" w:rsidR="00214EE1" w:rsidRPr="005326B2" w:rsidRDefault="00214EE1" w:rsidP="005326B2">
      <w:pPr>
        <w:pStyle w:val="a7"/>
        <w:numPr>
          <w:ilvl w:val="0"/>
          <w:numId w:val="4"/>
        </w:numPr>
        <w:tabs>
          <w:tab w:val="left" w:pos="2435"/>
        </w:tabs>
        <w:spacing w:after="0" w:line="360" w:lineRule="auto"/>
        <w:ind w:left="567" w:hanging="567"/>
        <w:jc w:val="both"/>
        <w:rPr>
          <w:rFonts w:ascii="Times New Roman" w:hAnsi="Times New Roman" w:cs="Times New Roman"/>
          <w:sz w:val="28"/>
          <w:szCs w:val="28"/>
        </w:rPr>
      </w:pPr>
      <w:bookmarkStart w:id="8" w:name="_Ref209375754"/>
      <w:r w:rsidRPr="005326B2">
        <w:rPr>
          <w:rFonts w:ascii="Times New Roman" w:hAnsi="Times New Roman" w:cs="Times New Roman"/>
          <w:sz w:val="28"/>
          <w:szCs w:val="28"/>
        </w:rPr>
        <w:t xml:space="preserve">Обзор отчетности об инцидентах информационной безопасности при переводе денежных средств пострадавшего [Электронный ресурс] // Официальный сайт Центрального банка Российской Федерации. – 2025. – </w:t>
      </w:r>
      <w:r w:rsidRPr="005326B2">
        <w:rPr>
          <w:rFonts w:ascii="Times New Roman" w:hAnsi="Times New Roman" w:cs="Times New Roman"/>
          <w:sz w:val="28"/>
          <w:szCs w:val="28"/>
        </w:rPr>
        <w:lastRenderedPageBreak/>
        <w:t xml:space="preserve">URL: </w:t>
      </w:r>
      <w:hyperlink r:id="rId11" w:history="1">
        <w:r w:rsidRPr="005326B2">
          <w:rPr>
            <w:rStyle w:val="ad"/>
            <w:rFonts w:ascii="Times New Roman" w:hAnsi="Times New Roman" w:cs="Times New Roman"/>
            <w:sz w:val="28"/>
            <w:szCs w:val="28"/>
          </w:rPr>
          <w:t>https://www.cbr.ru/statistics/ib/review_2q_2025/</w:t>
        </w:r>
      </w:hyperlink>
      <w:r w:rsidRPr="005326B2">
        <w:rPr>
          <w:rFonts w:ascii="Times New Roman" w:hAnsi="Times New Roman" w:cs="Times New Roman"/>
          <w:sz w:val="28"/>
          <w:szCs w:val="28"/>
        </w:rPr>
        <w:t xml:space="preserve"> (дата обращения </w:t>
      </w:r>
      <w:r w:rsidR="00160770">
        <w:rPr>
          <w:rFonts w:ascii="Times New Roman" w:hAnsi="Times New Roman" w:cs="Times New Roman"/>
          <w:sz w:val="28"/>
          <w:szCs w:val="28"/>
        </w:rPr>
        <w:t>10.09.2025</w:t>
      </w:r>
      <w:r w:rsidRPr="005326B2">
        <w:rPr>
          <w:rFonts w:ascii="Times New Roman" w:hAnsi="Times New Roman" w:cs="Times New Roman"/>
          <w:sz w:val="28"/>
          <w:szCs w:val="28"/>
        </w:rPr>
        <w:t>)</w:t>
      </w:r>
      <w:bookmarkEnd w:id="8"/>
    </w:p>
    <w:p w14:paraId="705875B9" w14:textId="77777777" w:rsidR="00384194" w:rsidRPr="00F63A50" w:rsidRDefault="00384194" w:rsidP="00C55514">
      <w:pPr>
        <w:tabs>
          <w:tab w:val="left" w:pos="2435"/>
        </w:tabs>
        <w:spacing w:after="0" w:line="360" w:lineRule="auto"/>
        <w:ind w:left="567"/>
        <w:contextualSpacing/>
        <w:jc w:val="both"/>
        <w:rPr>
          <w:rFonts w:ascii="Times New Roman" w:hAnsi="Times New Roman" w:cs="Times New Roman"/>
          <w:sz w:val="28"/>
          <w:szCs w:val="28"/>
        </w:rPr>
      </w:pPr>
    </w:p>
    <w:sectPr w:rsidR="00384194" w:rsidRPr="00F63A50" w:rsidSect="00F63A50">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D51ED"/>
    <w:multiLevelType w:val="hybridMultilevel"/>
    <w:tmpl w:val="1F5212FA"/>
    <w:lvl w:ilvl="0" w:tplc="6912597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4E0D0640"/>
    <w:multiLevelType w:val="hybridMultilevel"/>
    <w:tmpl w:val="016CFB5A"/>
    <w:lvl w:ilvl="0" w:tplc="EC34163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15:restartNumberingAfterBreak="0">
    <w:nsid w:val="53C62841"/>
    <w:multiLevelType w:val="hybridMultilevel"/>
    <w:tmpl w:val="E042FE24"/>
    <w:lvl w:ilvl="0" w:tplc="EC34163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729458FF"/>
    <w:multiLevelType w:val="hybridMultilevel"/>
    <w:tmpl w:val="31EEBD04"/>
    <w:lvl w:ilvl="0" w:tplc="EC34163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16cid:durableId="1462455618">
    <w:abstractNumId w:val="0"/>
  </w:num>
  <w:num w:numId="2" w16cid:durableId="890461386">
    <w:abstractNumId w:val="3"/>
  </w:num>
  <w:num w:numId="3" w16cid:durableId="2064088668">
    <w:abstractNumId w:val="2"/>
  </w:num>
  <w:num w:numId="4" w16cid:durableId="12240212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1"/>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A50"/>
    <w:rsid w:val="00015C73"/>
    <w:rsid w:val="000950B1"/>
    <w:rsid w:val="000A2305"/>
    <w:rsid w:val="00150E16"/>
    <w:rsid w:val="00160770"/>
    <w:rsid w:val="001F7249"/>
    <w:rsid w:val="00210792"/>
    <w:rsid w:val="00214EE1"/>
    <w:rsid w:val="002162E4"/>
    <w:rsid w:val="002269AC"/>
    <w:rsid w:val="0028319E"/>
    <w:rsid w:val="00283D6F"/>
    <w:rsid w:val="00313174"/>
    <w:rsid w:val="00384194"/>
    <w:rsid w:val="003B3FCC"/>
    <w:rsid w:val="003B58A5"/>
    <w:rsid w:val="003C5B62"/>
    <w:rsid w:val="0048787A"/>
    <w:rsid w:val="004C7FE1"/>
    <w:rsid w:val="004F54D6"/>
    <w:rsid w:val="004F719F"/>
    <w:rsid w:val="005326B2"/>
    <w:rsid w:val="00545189"/>
    <w:rsid w:val="00563F7F"/>
    <w:rsid w:val="005B0CDD"/>
    <w:rsid w:val="005E1E78"/>
    <w:rsid w:val="00614F61"/>
    <w:rsid w:val="006430E3"/>
    <w:rsid w:val="006652F6"/>
    <w:rsid w:val="00776C08"/>
    <w:rsid w:val="007F393B"/>
    <w:rsid w:val="00860A50"/>
    <w:rsid w:val="008C51A0"/>
    <w:rsid w:val="00966126"/>
    <w:rsid w:val="009C7E47"/>
    <w:rsid w:val="009F417F"/>
    <w:rsid w:val="00A0029C"/>
    <w:rsid w:val="00B57C3C"/>
    <w:rsid w:val="00BD46EA"/>
    <w:rsid w:val="00C35450"/>
    <w:rsid w:val="00C55514"/>
    <w:rsid w:val="00CF1573"/>
    <w:rsid w:val="00CF7325"/>
    <w:rsid w:val="00D562AB"/>
    <w:rsid w:val="00E01A16"/>
    <w:rsid w:val="00E35E5B"/>
    <w:rsid w:val="00EF339D"/>
    <w:rsid w:val="00F41731"/>
    <w:rsid w:val="00F63A50"/>
    <w:rsid w:val="00F652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1D648"/>
  <w15:chartTrackingRefBased/>
  <w15:docId w15:val="{E805EADF-8E4B-48B3-B718-8DE643FD59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F63A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F63A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F63A50"/>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F63A50"/>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F63A50"/>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F63A50"/>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F63A50"/>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F63A50"/>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F63A50"/>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63A50"/>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F63A50"/>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F63A50"/>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F63A50"/>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F63A50"/>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F63A50"/>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F63A50"/>
    <w:rPr>
      <w:rFonts w:eastAsiaTheme="majorEastAsia" w:cstheme="majorBidi"/>
      <w:color w:val="595959" w:themeColor="text1" w:themeTint="A6"/>
    </w:rPr>
  </w:style>
  <w:style w:type="character" w:customStyle="1" w:styleId="80">
    <w:name w:val="Заголовок 8 Знак"/>
    <w:basedOn w:val="a0"/>
    <w:link w:val="8"/>
    <w:uiPriority w:val="9"/>
    <w:semiHidden/>
    <w:rsid w:val="00F63A50"/>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F63A50"/>
    <w:rPr>
      <w:rFonts w:eastAsiaTheme="majorEastAsia" w:cstheme="majorBidi"/>
      <w:color w:val="272727" w:themeColor="text1" w:themeTint="D8"/>
    </w:rPr>
  </w:style>
  <w:style w:type="paragraph" w:styleId="a3">
    <w:name w:val="Title"/>
    <w:basedOn w:val="a"/>
    <w:next w:val="a"/>
    <w:link w:val="a4"/>
    <w:uiPriority w:val="10"/>
    <w:qFormat/>
    <w:rsid w:val="00F63A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F63A5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63A50"/>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F63A50"/>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F63A50"/>
    <w:pPr>
      <w:spacing w:before="160"/>
      <w:jc w:val="center"/>
    </w:pPr>
    <w:rPr>
      <w:i/>
      <w:iCs/>
      <w:color w:val="404040" w:themeColor="text1" w:themeTint="BF"/>
    </w:rPr>
  </w:style>
  <w:style w:type="character" w:customStyle="1" w:styleId="22">
    <w:name w:val="Цитата 2 Знак"/>
    <w:basedOn w:val="a0"/>
    <w:link w:val="21"/>
    <w:uiPriority w:val="29"/>
    <w:rsid w:val="00F63A50"/>
    <w:rPr>
      <w:i/>
      <w:iCs/>
      <w:color w:val="404040" w:themeColor="text1" w:themeTint="BF"/>
    </w:rPr>
  </w:style>
  <w:style w:type="paragraph" w:styleId="a7">
    <w:name w:val="List Paragraph"/>
    <w:basedOn w:val="a"/>
    <w:uiPriority w:val="34"/>
    <w:qFormat/>
    <w:rsid w:val="00F63A50"/>
    <w:pPr>
      <w:ind w:left="720"/>
      <w:contextualSpacing/>
    </w:pPr>
  </w:style>
  <w:style w:type="character" w:styleId="a8">
    <w:name w:val="Intense Emphasis"/>
    <w:basedOn w:val="a0"/>
    <w:uiPriority w:val="21"/>
    <w:qFormat/>
    <w:rsid w:val="00F63A50"/>
    <w:rPr>
      <w:i/>
      <w:iCs/>
      <w:color w:val="0F4761" w:themeColor="accent1" w:themeShade="BF"/>
    </w:rPr>
  </w:style>
  <w:style w:type="paragraph" w:styleId="a9">
    <w:name w:val="Intense Quote"/>
    <w:basedOn w:val="a"/>
    <w:next w:val="a"/>
    <w:link w:val="aa"/>
    <w:uiPriority w:val="30"/>
    <w:qFormat/>
    <w:rsid w:val="00F63A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F63A50"/>
    <w:rPr>
      <w:i/>
      <w:iCs/>
      <w:color w:val="0F4761" w:themeColor="accent1" w:themeShade="BF"/>
    </w:rPr>
  </w:style>
  <w:style w:type="character" w:styleId="ab">
    <w:name w:val="Intense Reference"/>
    <w:basedOn w:val="a0"/>
    <w:uiPriority w:val="32"/>
    <w:qFormat/>
    <w:rsid w:val="00F63A50"/>
    <w:rPr>
      <w:b/>
      <w:bCs/>
      <w:smallCaps/>
      <w:color w:val="0F4761" w:themeColor="accent1" w:themeShade="BF"/>
      <w:spacing w:val="5"/>
    </w:rPr>
  </w:style>
  <w:style w:type="table" w:styleId="ac">
    <w:name w:val="Table Grid"/>
    <w:basedOn w:val="a1"/>
    <w:uiPriority w:val="39"/>
    <w:rsid w:val="003131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sid w:val="00214EE1"/>
    <w:rPr>
      <w:color w:val="467886" w:themeColor="hyperlink"/>
      <w:u w:val="single"/>
    </w:rPr>
  </w:style>
  <w:style w:type="character" w:styleId="ae">
    <w:name w:val="Unresolved Mention"/>
    <w:basedOn w:val="a0"/>
    <w:uiPriority w:val="99"/>
    <w:semiHidden/>
    <w:unhideWhenUsed/>
    <w:rsid w:val="00214E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nsultant.ru/document/cons_doc_LAW_470604/" TargetMode="External" /><Relationship Id="rId13" Type="http://schemas.openxmlformats.org/officeDocument/2006/relationships/theme" Target="theme/theme1.xml" /><Relationship Id="rId3" Type="http://schemas.openxmlformats.org/officeDocument/2006/relationships/styles" Target="styles.xml" /><Relationship Id="rId7" Type="http://schemas.openxmlformats.org/officeDocument/2006/relationships/chart" Target="charts/chart2.xml" /><Relationship Id="rId12" Type="http://schemas.openxmlformats.org/officeDocument/2006/relationships/fontTable" Target="fontTable.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chart" Target="charts/chart1.xml" /><Relationship Id="rId11" Type="http://schemas.openxmlformats.org/officeDocument/2006/relationships/hyperlink" Target="https://www.cbr.ru/statistics/ib/review_2q_2025/" TargetMode="External" /><Relationship Id="rId5" Type="http://schemas.openxmlformats.org/officeDocument/2006/relationships/webSettings" Target="webSettings.xml" /><Relationship Id="rId10" Type="http://schemas.openxmlformats.org/officeDocument/2006/relationships/hyperlink" Target="https://www.consultant.ru/document/cons_doc_LAW_502182/" TargetMode="External" /><Relationship Id="rId4" Type="http://schemas.openxmlformats.org/officeDocument/2006/relationships/settings" Target="settings.xml" /><Relationship Id="rId9" Type="http://schemas.openxmlformats.org/officeDocument/2006/relationships/hyperlink" Target="https://www.consultant.ru/document/cons_doc_LAW_498604/" TargetMode="External" /></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 /><Relationship Id="rId2" Type="http://schemas.microsoft.com/office/2011/relationships/chartColorStyle" Target="colors1.xml" /><Relationship Id="rId1" Type="http://schemas.microsoft.com/office/2011/relationships/chartStyle" Target="style1.xml" /></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 /><Relationship Id="rId2" Type="http://schemas.microsoft.com/office/2011/relationships/chartColorStyle" Target="colors2.xml" /><Relationship Id="rId1" Type="http://schemas.microsoft.com/office/2011/relationships/chartStyle" Target="style2.xml" /></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Карты</c:v>
                </c:pt>
              </c:strCache>
            </c:strRef>
          </c:tx>
          <c:spPr>
            <a:solidFill>
              <a:schemeClr val="accent1"/>
            </a:solidFill>
            <a:ln>
              <a:noFill/>
            </a:ln>
            <a:effectLst/>
          </c:spPr>
          <c:invertIfNegative val="0"/>
          <c:dPt>
            <c:idx val="0"/>
            <c:invertIfNegative val="0"/>
            <c:bubble3D val="0"/>
            <c:spPr>
              <a:solidFill>
                <a:schemeClr val="tx2">
                  <a:lumMod val="75000"/>
                  <a:lumOff val="25000"/>
                </a:schemeClr>
              </a:solidFill>
              <a:ln>
                <a:noFill/>
              </a:ln>
              <a:effectLst/>
            </c:spPr>
            <c:extLst>
              <c:ext xmlns:c16="http://schemas.microsoft.com/office/drawing/2014/chart" uri="{C3380CC4-5D6E-409C-BE32-E72D297353CC}">
                <c16:uniqueId val="{00000005-7454-4753-8C56-56E33218337C}"/>
              </c:ext>
            </c:extLst>
          </c:dPt>
          <c:dLbls>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c:f>
              <c:strCache>
                <c:ptCount val="1"/>
                <c:pt idx="0">
                  <c:v>Категория 1</c:v>
                </c:pt>
              </c:strCache>
            </c:strRef>
          </c:cat>
          <c:val>
            <c:numRef>
              <c:f>Лист1!$B$2</c:f>
              <c:numCache>
                <c:formatCode>General</c:formatCode>
                <c:ptCount val="1"/>
                <c:pt idx="0">
                  <c:v>8507.5</c:v>
                </c:pt>
              </c:numCache>
            </c:numRef>
          </c:val>
          <c:extLst>
            <c:ext xmlns:c16="http://schemas.microsoft.com/office/drawing/2014/chart" uri="{C3380CC4-5D6E-409C-BE32-E72D297353CC}">
              <c16:uniqueId val="{00000000-7454-4753-8C56-56E33218337C}"/>
            </c:ext>
          </c:extLst>
        </c:ser>
        <c:ser>
          <c:idx val="1"/>
          <c:order val="1"/>
          <c:tx>
            <c:strRef>
              <c:f>Лист1!$C$1</c:f>
              <c:strCache>
                <c:ptCount val="1"/>
                <c:pt idx="0">
                  <c:v>Счета (без использования карт)</c:v>
                </c:pt>
              </c:strCache>
            </c:strRef>
          </c:tx>
          <c:spPr>
            <a:solidFill>
              <a:schemeClr val="accent1">
                <a:lumMod val="60000"/>
                <a:lumOff val="40000"/>
              </a:schemeClr>
            </a:solidFill>
            <a:ln>
              <a:noFill/>
            </a:ln>
            <a:effectLst/>
          </c:spPr>
          <c:invertIfNegative val="0"/>
          <c:dLbls>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c:f>
              <c:strCache>
                <c:ptCount val="1"/>
                <c:pt idx="0">
                  <c:v>Категория 1</c:v>
                </c:pt>
              </c:strCache>
            </c:strRef>
          </c:cat>
          <c:val>
            <c:numRef>
              <c:f>Лист1!$C$2</c:f>
              <c:numCache>
                <c:formatCode>General</c:formatCode>
                <c:ptCount val="1"/>
                <c:pt idx="0">
                  <c:v>9602.57</c:v>
                </c:pt>
              </c:numCache>
            </c:numRef>
          </c:val>
          <c:extLst>
            <c:ext xmlns:c16="http://schemas.microsoft.com/office/drawing/2014/chart" uri="{C3380CC4-5D6E-409C-BE32-E72D297353CC}">
              <c16:uniqueId val="{00000001-7454-4753-8C56-56E33218337C}"/>
            </c:ext>
          </c:extLst>
        </c:ser>
        <c:ser>
          <c:idx val="2"/>
          <c:order val="2"/>
          <c:tx>
            <c:strRef>
              <c:f>Лист1!$D$1</c:f>
              <c:strCache>
                <c:ptCount val="1"/>
                <c:pt idx="0">
                  <c:v>СБП</c:v>
                </c:pt>
              </c:strCache>
            </c:strRef>
          </c:tx>
          <c:spPr>
            <a:solidFill>
              <a:schemeClr val="tx2">
                <a:lumMod val="25000"/>
                <a:lumOff val="75000"/>
              </a:schemeClr>
            </a:solidFill>
            <a:ln>
              <a:noFill/>
            </a:ln>
            <a:effectLst/>
          </c:spPr>
          <c:invertIfNegative val="0"/>
          <c:dLbls>
            <c:dLbl>
              <c:idx val="0"/>
              <c:layout>
                <c:manualLayout>
                  <c:x val="1.0362694300518135E-2"/>
                  <c:y val="-4.0128410914927765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7454-4753-8C56-56E33218337C}"/>
                </c:ext>
              </c:extLst>
            </c:dLbl>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c:f>
              <c:strCache>
                <c:ptCount val="1"/>
                <c:pt idx="0">
                  <c:v>Категория 1</c:v>
                </c:pt>
              </c:strCache>
            </c:strRef>
          </c:cat>
          <c:val>
            <c:numRef>
              <c:f>Лист1!$D$2</c:f>
              <c:numCache>
                <c:formatCode>General</c:formatCode>
                <c:ptCount val="1"/>
                <c:pt idx="0">
                  <c:v>8246.24</c:v>
                </c:pt>
              </c:numCache>
            </c:numRef>
          </c:val>
          <c:extLst>
            <c:ext xmlns:c16="http://schemas.microsoft.com/office/drawing/2014/chart" uri="{C3380CC4-5D6E-409C-BE32-E72D297353CC}">
              <c16:uniqueId val="{00000002-7454-4753-8C56-56E33218337C}"/>
            </c:ext>
          </c:extLst>
        </c:ser>
        <c:ser>
          <c:idx val="3"/>
          <c:order val="3"/>
          <c:tx>
            <c:strRef>
              <c:f>Лист1!$E$1</c:f>
              <c:strCache>
                <c:ptCount val="1"/>
                <c:pt idx="0">
                  <c:v>Электронные кошельки</c:v>
                </c:pt>
              </c:strCache>
            </c:strRef>
          </c:tx>
          <c:spPr>
            <a:solidFill>
              <a:schemeClr val="bg2">
                <a:lumMod val="75000"/>
              </a:schemeClr>
            </a:solidFill>
            <a:ln>
              <a:noFill/>
            </a:ln>
            <a:effectLst/>
          </c:spPr>
          <c:invertIfNegative val="0"/>
          <c:dLbls>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c:f>
              <c:strCache>
                <c:ptCount val="1"/>
                <c:pt idx="0">
                  <c:v>Категория 1</c:v>
                </c:pt>
              </c:strCache>
            </c:strRef>
          </c:cat>
          <c:val>
            <c:numRef>
              <c:f>Лист1!$E$2</c:f>
              <c:numCache>
                <c:formatCode>General</c:formatCode>
                <c:ptCount val="1"/>
                <c:pt idx="0">
                  <c:v>102.38</c:v>
                </c:pt>
              </c:numCache>
            </c:numRef>
          </c:val>
          <c:extLst>
            <c:ext xmlns:c16="http://schemas.microsoft.com/office/drawing/2014/chart" uri="{C3380CC4-5D6E-409C-BE32-E72D297353CC}">
              <c16:uniqueId val="{00000003-7454-4753-8C56-56E33218337C}"/>
            </c:ext>
          </c:extLst>
        </c:ser>
        <c:ser>
          <c:idx val="4"/>
          <c:order val="4"/>
          <c:tx>
            <c:strRef>
              <c:f>Лист1!$F$1</c:f>
              <c:strCache>
                <c:ptCount val="1"/>
                <c:pt idx="0">
                  <c:v>Без открытия счета</c:v>
                </c:pt>
              </c:strCache>
            </c:strRef>
          </c:tx>
          <c:spPr>
            <a:solidFill>
              <a:schemeClr val="tx2">
                <a:lumMod val="90000"/>
                <a:lumOff val="10000"/>
              </a:schemeClr>
            </a:solidFill>
            <a:ln>
              <a:noFill/>
            </a:ln>
            <a:effectLst/>
          </c:spPr>
          <c:invertIfNegative val="0"/>
          <c:dLbls>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c:f>
              <c:strCache>
                <c:ptCount val="1"/>
                <c:pt idx="0">
                  <c:v>Категория 1</c:v>
                </c:pt>
              </c:strCache>
            </c:strRef>
          </c:cat>
          <c:val>
            <c:numRef>
              <c:f>Лист1!$F$2</c:f>
              <c:numCache>
                <c:formatCode>General</c:formatCode>
                <c:ptCount val="1"/>
                <c:pt idx="0">
                  <c:v>408.22</c:v>
                </c:pt>
              </c:numCache>
            </c:numRef>
          </c:val>
          <c:extLst>
            <c:ext xmlns:c16="http://schemas.microsoft.com/office/drawing/2014/chart" uri="{C3380CC4-5D6E-409C-BE32-E72D297353CC}">
              <c16:uniqueId val="{00000004-7454-4753-8C56-56E33218337C}"/>
            </c:ext>
          </c:extLst>
        </c:ser>
        <c:dLbls>
          <c:dLblPos val="outEnd"/>
          <c:showLegendKey val="0"/>
          <c:showVal val="1"/>
          <c:showCatName val="0"/>
          <c:showSerName val="0"/>
          <c:showPercent val="0"/>
          <c:showBubbleSize val="0"/>
        </c:dLbls>
        <c:gapWidth val="150"/>
        <c:axId val="802798495"/>
        <c:axId val="802798975"/>
      </c:barChart>
      <c:catAx>
        <c:axId val="802798495"/>
        <c:scaling>
          <c:orientation val="minMax"/>
        </c:scaling>
        <c:delete val="1"/>
        <c:axPos val="b"/>
        <c:numFmt formatCode="General" sourceLinked="1"/>
        <c:majorTickMark val="none"/>
        <c:minorTickMark val="none"/>
        <c:tickLblPos val="nextTo"/>
        <c:crossAx val="802798975"/>
        <c:crosses val="autoZero"/>
        <c:auto val="1"/>
        <c:lblAlgn val="ctr"/>
        <c:lblOffset val="100"/>
        <c:noMultiLvlLbl val="0"/>
      </c:catAx>
      <c:valAx>
        <c:axId val="802798975"/>
        <c:scaling>
          <c:orientation val="minMax"/>
        </c:scaling>
        <c:delete val="0"/>
        <c:axPos val="l"/>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02798495"/>
        <c:crosses val="autoZero"/>
        <c:crossBetween val="between"/>
      </c:valAx>
      <c:spPr>
        <a:noFill/>
        <a:ln w="25400">
          <a:noFill/>
        </a:ln>
        <a:effectLst/>
      </c:spPr>
    </c:plotArea>
    <c:legend>
      <c:legendPos val="r"/>
      <c:overlay val="0"/>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4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Лист1!$B$1</c:f>
              <c:strCache>
                <c:ptCount val="1"/>
                <c:pt idx="0">
                  <c:v>Столбец1</c:v>
                </c:pt>
              </c:strCache>
            </c:strRef>
          </c:tx>
          <c:spPr>
            <a:solidFill>
              <a:schemeClr val="accent1">
                <a:lumMod val="75000"/>
              </a:schemeClr>
            </a:solidFill>
            <a:ln>
              <a:noFill/>
            </a:ln>
            <a:effectLst/>
          </c:spPr>
          <c:invertIfNegative val="0"/>
          <c:dLbls>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Лист1!$A$2:$A$11</c:f>
              <c:strCache>
                <c:ptCount val="10"/>
                <c:pt idx="0">
                  <c:v>Набирают комбинацию цифр на телефоне</c:v>
                </c:pt>
                <c:pt idx="1">
                  <c:v>Сообщают данные банковской карты</c:v>
                </c:pt>
                <c:pt idx="2">
                  <c:v>Вводят личные данные на сайте</c:v>
                </c:pt>
                <c:pt idx="3">
                  <c:v>Сообщают паспортные данные</c:v>
                </c:pt>
                <c:pt idx="4">
                  <c:v>Устанавливают вредоносное приложение</c:v>
                </c:pt>
                <c:pt idx="5">
                  <c:v>Вводят данные банковской карты на сайте</c:v>
                </c:pt>
                <c:pt idx="6">
                  <c:v>Сообщают коды из СМС-сообщений или пуш-уведомлений от банка</c:v>
                </c:pt>
                <c:pt idx="7">
                  <c:v>Сообщают коды из СМС-сообщений от Госуслуг</c:v>
                </c:pt>
                <c:pt idx="8">
                  <c:v>Переводят деньги злоумышленникам</c:v>
                </c:pt>
                <c:pt idx="9">
                  <c:v>Переходят по ссылке, которую присылают злоумышленники</c:v>
                </c:pt>
              </c:strCache>
            </c:strRef>
          </c:cat>
          <c:val>
            <c:numRef>
              <c:f>Лист1!$B$2:$B$11</c:f>
              <c:numCache>
                <c:formatCode>General</c:formatCode>
                <c:ptCount val="10"/>
                <c:pt idx="0">
                  <c:v>3.8</c:v>
                </c:pt>
                <c:pt idx="1">
                  <c:v>5</c:v>
                </c:pt>
                <c:pt idx="2">
                  <c:v>6.2</c:v>
                </c:pt>
                <c:pt idx="3">
                  <c:v>6.6</c:v>
                </c:pt>
                <c:pt idx="4">
                  <c:v>6.7</c:v>
                </c:pt>
                <c:pt idx="5">
                  <c:v>7.6</c:v>
                </c:pt>
                <c:pt idx="6">
                  <c:v>10.8</c:v>
                </c:pt>
                <c:pt idx="7">
                  <c:v>11.2</c:v>
                </c:pt>
                <c:pt idx="8">
                  <c:v>15.6</c:v>
                </c:pt>
                <c:pt idx="9">
                  <c:v>18.899999999999999</c:v>
                </c:pt>
              </c:numCache>
            </c:numRef>
          </c:val>
          <c:extLst>
            <c:ext xmlns:c16="http://schemas.microsoft.com/office/drawing/2014/chart" uri="{C3380CC4-5D6E-409C-BE32-E72D297353CC}">
              <c16:uniqueId val="{00000000-13D8-438F-9B96-6FE87EDB9B25}"/>
            </c:ext>
          </c:extLst>
        </c:ser>
        <c:dLbls>
          <c:dLblPos val="outEnd"/>
          <c:showLegendKey val="0"/>
          <c:showVal val="1"/>
          <c:showCatName val="0"/>
          <c:showSerName val="0"/>
          <c:showPercent val="0"/>
          <c:showBubbleSize val="0"/>
        </c:dLbls>
        <c:gapWidth val="182"/>
        <c:axId val="866114751"/>
        <c:axId val="866110431"/>
      </c:barChart>
      <c:catAx>
        <c:axId val="866114751"/>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66110431"/>
        <c:crosses val="autoZero"/>
        <c:auto val="1"/>
        <c:lblAlgn val="ctr"/>
        <c:lblOffset val="100"/>
        <c:noMultiLvlLbl val="0"/>
      </c:catAx>
      <c:valAx>
        <c:axId val="866110431"/>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66114751"/>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7A4DAA-5599-4227-AF34-461159447EA1}">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2597</Words>
  <Characters>14805</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llya iu</dc:creator>
  <cp:keywords/>
  <dc:description/>
  <cp:lastModifiedBy>Арюна Вампилова</cp:lastModifiedBy>
  <cp:revision>2</cp:revision>
  <dcterms:created xsi:type="dcterms:W3CDTF">2025-09-21T12:03:00Z</dcterms:created>
  <dcterms:modified xsi:type="dcterms:W3CDTF">2025-09-21T12:03:00Z</dcterms:modified>
</cp:coreProperties>
</file>