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041" w:rsidRPr="001D2EF1" w:rsidRDefault="009B4041" w:rsidP="009B4041">
      <w:pPr>
        <w:spacing w:after="0" w:line="240" w:lineRule="auto"/>
        <w:jc w:val="right"/>
        <w:rPr>
          <w:rFonts w:ascii="Times New Roman" w:eastAsia="Calibri" w:hAnsi="Times New Roman" w:cs="Times New Roman"/>
          <w:kern w:val="2"/>
          <w:sz w:val="24"/>
          <w:szCs w:val="24"/>
        </w:rPr>
      </w:pPr>
      <w:r w:rsidRPr="001D2EF1">
        <w:rPr>
          <w:rFonts w:ascii="Times New Roman" w:eastAsia="Calibri" w:hAnsi="Times New Roman" w:cs="Times New Roman"/>
          <w:kern w:val="2"/>
          <w:sz w:val="24"/>
          <w:szCs w:val="24"/>
        </w:rPr>
        <w:t>УДК</w:t>
      </w:r>
      <w:r>
        <w:rPr>
          <w:rFonts w:ascii="Times New Roman" w:eastAsia="Calibri" w:hAnsi="Times New Roman" w:cs="Times New Roman"/>
          <w:kern w:val="2"/>
          <w:sz w:val="24"/>
          <w:szCs w:val="24"/>
        </w:rPr>
        <w:t xml:space="preserve"> </w:t>
      </w:r>
      <w:r w:rsidRPr="00A67619">
        <w:rPr>
          <w:rFonts w:ascii="Times New Roman" w:eastAsia="Calibri" w:hAnsi="Times New Roman" w:cs="Times New Roman"/>
          <w:kern w:val="2"/>
          <w:sz w:val="24"/>
          <w:szCs w:val="24"/>
        </w:rPr>
        <w:t>336.64</w:t>
      </w:r>
    </w:p>
    <w:p w:rsidR="009B4041" w:rsidRPr="001D2EF1" w:rsidRDefault="009B4041" w:rsidP="009B4041">
      <w:pPr>
        <w:spacing w:after="0" w:line="240" w:lineRule="auto"/>
        <w:jc w:val="center"/>
        <w:rPr>
          <w:rFonts w:ascii="Times New Roman" w:eastAsia="Calibri" w:hAnsi="Times New Roman" w:cs="Times New Roman"/>
          <w:b/>
          <w:bCs/>
          <w:kern w:val="2"/>
          <w:sz w:val="28"/>
          <w:szCs w:val="28"/>
        </w:rPr>
      </w:pPr>
      <w:r w:rsidRPr="001D2EF1">
        <w:rPr>
          <w:rFonts w:ascii="Times New Roman" w:eastAsia="Calibri" w:hAnsi="Times New Roman" w:cs="Times New Roman"/>
          <w:b/>
          <w:bCs/>
          <w:kern w:val="2"/>
          <w:sz w:val="28"/>
          <w:szCs w:val="28"/>
        </w:rPr>
        <w:t>ПОНЯТИЕ И ВИДЫ ФИНАНСОВЫХ РИСКОВ</w:t>
      </w:r>
    </w:p>
    <w:p w:rsidR="009B4041" w:rsidRPr="001D2EF1" w:rsidRDefault="009B4041" w:rsidP="009B4041">
      <w:pPr>
        <w:spacing w:after="0" w:line="240" w:lineRule="auto"/>
        <w:jc w:val="center"/>
        <w:rPr>
          <w:rFonts w:ascii="Times New Roman" w:eastAsia="Calibri" w:hAnsi="Times New Roman" w:cs="Times New Roman"/>
          <w:b/>
          <w:bCs/>
          <w:kern w:val="2"/>
          <w:sz w:val="28"/>
          <w:szCs w:val="28"/>
          <w:lang w:val="en-US"/>
        </w:rPr>
      </w:pPr>
      <w:r w:rsidRPr="001D2EF1">
        <w:rPr>
          <w:rFonts w:ascii="Times New Roman" w:eastAsia="Calibri" w:hAnsi="Times New Roman" w:cs="Times New Roman"/>
          <w:b/>
          <w:bCs/>
          <w:kern w:val="2"/>
          <w:sz w:val="28"/>
          <w:szCs w:val="28"/>
          <w:lang w:val="en-US"/>
        </w:rPr>
        <w:t>THE CONCEPT AND TYPES OF FINANCIAL RISKS</w:t>
      </w:r>
    </w:p>
    <w:p w:rsidR="009B4041" w:rsidRPr="001D2EF1" w:rsidRDefault="009B4041" w:rsidP="009B4041">
      <w:pPr>
        <w:spacing w:after="0" w:line="240" w:lineRule="auto"/>
        <w:jc w:val="center"/>
        <w:rPr>
          <w:rFonts w:ascii="Times New Roman" w:eastAsia="Calibri" w:hAnsi="Times New Roman" w:cs="Times New Roman"/>
          <w:b/>
          <w:bCs/>
          <w:kern w:val="2"/>
          <w:sz w:val="28"/>
          <w:szCs w:val="28"/>
          <w:lang w:val="en-US"/>
        </w:rPr>
      </w:pPr>
    </w:p>
    <w:p w:rsidR="009B4041" w:rsidRPr="001D2EF1" w:rsidRDefault="009B4041" w:rsidP="009B4041">
      <w:pPr>
        <w:spacing w:after="0" w:line="240" w:lineRule="auto"/>
        <w:ind w:firstLine="567"/>
        <w:jc w:val="right"/>
        <w:rPr>
          <w:rFonts w:ascii="Times New Roman" w:eastAsia="Calibri" w:hAnsi="Times New Roman" w:cs="Times New Roman"/>
          <w:b/>
          <w:color w:val="000000"/>
          <w:kern w:val="2"/>
          <w:sz w:val="28"/>
          <w:szCs w:val="28"/>
        </w:rPr>
      </w:pPr>
      <w:r w:rsidRPr="001D2EF1">
        <w:rPr>
          <w:rFonts w:ascii="Times New Roman" w:eastAsia="Calibri" w:hAnsi="Times New Roman" w:cs="Times New Roman"/>
          <w:b/>
          <w:color w:val="000000"/>
          <w:kern w:val="2"/>
          <w:sz w:val="28"/>
          <w:szCs w:val="28"/>
        </w:rPr>
        <w:t>НАЙДАНОВА САЯНА СОДНОМОВНА</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rPr>
        <w:t xml:space="preserve">Магистрант Института права и экономики </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hyperlink r:id="rId5" w:history="1">
        <w:r w:rsidRPr="001D2EF1">
          <w:rPr>
            <w:rFonts w:ascii="Times New Roman" w:eastAsia="Calibri" w:hAnsi="Times New Roman" w:cs="Times New Roman"/>
            <w:i/>
            <w:color w:val="0000FF"/>
            <w:kern w:val="2"/>
            <w:sz w:val="28"/>
            <w:szCs w:val="28"/>
            <w:u w:val="single"/>
            <w:lang w:val="en-US"/>
          </w:rPr>
          <w:t>ndnvsayana</w:t>
        </w:r>
        <w:r w:rsidRPr="001D2EF1">
          <w:rPr>
            <w:rFonts w:ascii="Times New Roman" w:eastAsia="Calibri" w:hAnsi="Times New Roman" w:cs="Times New Roman"/>
            <w:i/>
            <w:color w:val="0000FF"/>
            <w:kern w:val="2"/>
            <w:sz w:val="28"/>
            <w:szCs w:val="28"/>
            <w:u w:val="single"/>
          </w:rPr>
          <w:t>@</w:t>
        </w:r>
        <w:r w:rsidRPr="001D2EF1">
          <w:rPr>
            <w:rFonts w:ascii="Times New Roman" w:eastAsia="Calibri" w:hAnsi="Times New Roman" w:cs="Times New Roman"/>
            <w:i/>
            <w:color w:val="0000FF"/>
            <w:kern w:val="2"/>
            <w:sz w:val="28"/>
            <w:szCs w:val="28"/>
            <w:u w:val="single"/>
            <w:lang w:val="en-US"/>
          </w:rPr>
          <w:t>mail</w:t>
        </w:r>
        <w:r w:rsidRPr="001D2EF1">
          <w:rPr>
            <w:rFonts w:ascii="Times New Roman" w:eastAsia="Calibri" w:hAnsi="Times New Roman" w:cs="Times New Roman"/>
            <w:i/>
            <w:color w:val="0000FF"/>
            <w:kern w:val="2"/>
            <w:sz w:val="28"/>
            <w:szCs w:val="28"/>
            <w:u w:val="single"/>
          </w:rPr>
          <w:t>.</w:t>
        </w:r>
        <w:proofErr w:type="spellStart"/>
        <w:r w:rsidRPr="001D2EF1">
          <w:rPr>
            <w:rFonts w:ascii="Times New Roman" w:eastAsia="Calibri" w:hAnsi="Times New Roman" w:cs="Times New Roman"/>
            <w:i/>
            <w:color w:val="0000FF"/>
            <w:kern w:val="2"/>
            <w:sz w:val="28"/>
            <w:szCs w:val="28"/>
            <w:u w:val="single"/>
            <w:lang w:val="en-US"/>
          </w:rPr>
          <w:t>ru</w:t>
        </w:r>
        <w:proofErr w:type="spellEnd"/>
      </w:hyperlink>
      <w:r w:rsidRPr="001D2EF1">
        <w:rPr>
          <w:rFonts w:ascii="Times New Roman" w:eastAsia="Calibri" w:hAnsi="Times New Roman" w:cs="Times New Roman"/>
          <w:i/>
          <w:color w:val="000000"/>
          <w:kern w:val="2"/>
          <w:sz w:val="28"/>
          <w:szCs w:val="28"/>
        </w:rPr>
        <w:t xml:space="preserve"> </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rPr>
        <w:t xml:space="preserve">Бурятский государственный университет имени </w:t>
      </w:r>
      <w:proofErr w:type="spellStart"/>
      <w:r w:rsidRPr="001D2EF1">
        <w:rPr>
          <w:rFonts w:ascii="Times New Roman" w:eastAsia="Calibri" w:hAnsi="Times New Roman" w:cs="Times New Roman"/>
          <w:i/>
          <w:color w:val="000000"/>
          <w:kern w:val="2"/>
          <w:sz w:val="28"/>
          <w:szCs w:val="28"/>
        </w:rPr>
        <w:t>Доржи</w:t>
      </w:r>
      <w:proofErr w:type="spellEnd"/>
      <w:r w:rsidRPr="001D2EF1">
        <w:rPr>
          <w:rFonts w:ascii="Times New Roman" w:eastAsia="Calibri" w:hAnsi="Times New Roman" w:cs="Times New Roman"/>
          <w:i/>
          <w:color w:val="000000"/>
          <w:kern w:val="2"/>
          <w:sz w:val="28"/>
          <w:szCs w:val="28"/>
        </w:rPr>
        <w:t xml:space="preserve"> Банзарова</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rPr>
        <w:t>Россия, г. Улан-Удэ</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lang w:val="en-US"/>
        </w:rPr>
        <w:t>NAIDANOVA</w:t>
      </w:r>
      <w:r w:rsidRPr="001D2EF1">
        <w:rPr>
          <w:rFonts w:ascii="Times New Roman" w:eastAsia="Calibri" w:hAnsi="Times New Roman" w:cs="Times New Roman"/>
          <w:i/>
          <w:color w:val="000000"/>
          <w:kern w:val="2"/>
          <w:sz w:val="28"/>
          <w:szCs w:val="28"/>
        </w:rPr>
        <w:t xml:space="preserve"> </w:t>
      </w:r>
      <w:r w:rsidRPr="001D2EF1">
        <w:rPr>
          <w:rFonts w:ascii="Times New Roman" w:eastAsia="Calibri" w:hAnsi="Times New Roman" w:cs="Times New Roman"/>
          <w:i/>
          <w:color w:val="000000"/>
          <w:kern w:val="2"/>
          <w:sz w:val="28"/>
          <w:szCs w:val="28"/>
          <w:lang w:val="en-US"/>
        </w:rPr>
        <w:t>SAYANA</w:t>
      </w:r>
      <w:r w:rsidRPr="001D2EF1">
        <w:rPr>
          <w:rFonts w:ascii="Times New Roman" w:eastAsia="Calibri" w:hAnsi="Times New Roman" w:cs="Times New Roman"/>
          <w:i/>
          <w:color w:val="000000"/>
          <w:kern w:val="2"/>
          <w:sz w:val="28"/>
          <w:szCs w:val="28"/>
        </w:rPr>
        <w:t xml:space="preserve"> </w:t>
      </w:r>
      <w:r w:rsidRPr="001D2EF1">
        <w:rPr>
          <w:rFonts w:ascii="Times New Roman" w:eastAsia="Calibri" w:hAnsi="Times New Roman" w:cs="Times New Roman"/>
          <w:i/>
          <w:color w:val="000000"/>
          <w:kern w:val="2"/>
          <w:sz w:val="28"/>
          <w:szCs w:val="28"/>
          <w:lang w:val="en-US"/>
        </w:rPr>
        <w:t>SODNOMOVNA</w:t>
      </w:r>
      <w:r w:rsidRPr="001D2EF1">
        <w:rPr>
          <w:rFonts w:ascii="Times New Roman" w:eastAsia="Calibri" w:hAnsi="Times New Roman" w:cs="Times New Roman"/>
          <w:i/>
          <w:color w:val="000000"/>
          <w:kern w:val="2"/>
          <w:sz w:val="28"/>
          <w:szCs w:val="28"/>
        </w:rPr>
        <w:t xml:space="preserve"> </w:t>
      </w:r>
    </w:p>
    <w:p w:rsidR="009B4041" w:rsidRPr="001D2EF1" w:rsidRDefault="009B4041" w:rsidP="009B4041">
      <w:pPr>
        <w:spacing w:after="0" w:line="240" w:lineRule="auto"/>
        <w:ind w:firstLine="567"/>
        <w:jc w:val="right"/>
        <w:rPr>
          <w:rFonts w:ascii="Times New Roman" w:eastAsia="Calibri" w:hAnsi="Times New Roman" w:cs="Times New Roman"/>
          <w:color w:val="000000"/>
          <w:kern w:val="2"/>
          <w:sz w:val="28"/>
          <w:szCs w:val="28"/>
          <w:lang w:val="en-US"/>
        </w:rPr>
      </w:pPr>
      <w:r w:rsidRPr="001D2EF1">
        <w:rPr>
          <w:rFonts w:ascii="Times New Roman" w:eastAsia="Calibri" w:hAnsi="Times New Roman" w:cs="Times New Roman"/>
          <w:color w:val="000000"/>
          <w:kern w:val="2"/>
          <w:sz w:val="28"/>
          <w:szCs w:val="28"/>
          <w:lang w:val="en-US"/>
        </w:rPr>
        <w:t xml:space="preserve">Master's student at the Institute of Law and Economics </w:t>
      </w:r>
    </w:p>
    <w:p w:rsidR="009B4041" w:rsidRPr="001D2EF1" w:rsidRDefault="009B4041" w:rsidP="009B4041">
      <w:pPr>
        <w:spacing w:after="0" w:line="240" w:lineRule="auto"/>
        <w:ind w:firstLine="567"/>
        <w:jc w:val="right"/>
        <w:rPr>
          <w:rFonts w:ascii="Times New Roman" w:eastAsia="Calibri" w:hAnsi="Times New Roman" w:cs="Times New Roman"/>
          <w:color w:val="000000"/>
          <w:kern w:val="2"/>
          <w:sz w:val="28"/>
          <w:szCs w:val="28"/>
          <w:lang w:val="en-US"/>
        </w:rPr>
      </w:pPr>
      <w:r w:rsidRPr="001D2EF1">
        <w:rPr>
          <w:rFonts w:ascii="Times New Roman" w:eastAsia="Calibri" w:hAnsi="Times New Roman" w:cs="Times New Roman"/>
          <w:color w:val="000000"/>
          <w:kern w:val="2"/>
          <w:sz w:val="28"/>
          <w:szCs w:val="28"/>
          <w:lang w:val="en-US"/>
        </w:rPr>
        <w:t xml:space="preserve">Buryat State University </w:t>
      </w:r>
    </w:p>
    <w:p w:rsidR="009B4041" w:rsidRPr="001D2EF1" w:rsidRDefault="009B4041" w:rsidP="009B4041">
      <w:pPr>
        <w:spacing w:after="0" w:line="240" w:lineRule="auto"/>
        <w:ind w:firstLine="567"/>
        <w:jc w:val="right"/>
        <w:rPr>
          <w:rFonts w:ascii="Times New Roman" w:eastAsia="Calibri" w:hAnsi="Times New Roman" w:cs="Times New Roman"/>
          <w:color w:val="000000"/>
          <w:kern w:val="2"/>
          <w:sz w:val="28"/>
          <w:szCs w:val="28"/>
          <w:lang w:val="en-US"/>
        </w:rPr>
      </w:pPr>
      <w:r w:rsidRPr="001D2EF1">
        <w:rPr>
          <w:rFonts w:ascii="Times New Roman" w:eastAsia="Calibri" w:hAnsi="Times New Roman" w:cs="Times New Roman"/>
          <w:color w:val="000000"/>
          <w:kern w:val="2"/>
          <w:sz w:val="28"/>
          <w:szCs w:val="28"/>
          <w:lang w:val="en-US"/>
        </w:rPr>
        <w:t>Ulan-Ude, Russia</w:t>
      </w:r>
    </w:p>
    <w:p w:rsidR="009B4041" w:rsidRPr="001D2EF1" w:rsidRDefault="009B4041" w:rsidP="009B4041">
      <w:pPr>
        <w:spacing w:after="0" w:line="240" w:lineRule="auto"/>
        <w:ind w:firstLine="567"/>
        <w:jc w:val="right"/>
        <w:rPr>
          <w:rFonts w:ascii="Times New Roman" w:eastAsia="Calibri" w:hAnsi="Times New Roman" w:cs="Times New Roman"/>
          <w:color w:val="000000"/>
          <w:kern w:val="2"/>
          <w:sz w:val="28"/>
          <w:szCs w:val="28"/>
          <w:lang w:val="en-US"/>
        </w:rPr>
      </w:pPr>
    </w:p>
    <w:p w:rsidR="009B4041" w:rsidRPr="001D2EF1" w:rsidRDefault="009B4041" w:rsidP="009B4041">
      <w:pPr>
        <w:spacing w:after="0" w:line="240" w:lineRule="auto"/>
        <w:ind w:firstLine="567"/>
        <w:jc w:val="right"/>
        <w:rPr>
          <w:rFonts w:ascii="Times New Roman" w:eastAsia="Calibri" w:hAnsi="Times New Roman" w:cs="Times New Roman"/>
          <w:b/>
          <w:color w:val="000000"/>
          <w:kern w:val="2"/>
          <w:sz w:val="28"/>
          <w:szCs w:val="28"/>
        </w:rPr>
      </w:pPr>
      <w:r w:rsidRPr="001D2EF1">
        <w:rPr>
          <w:rFonts w:ascii="Times New Roman" w:eastAsia="Calibri" w:hAnsi="Times New Roman" w:cs="Times New Roman"/>
          <w:b/>
          <w:color w:val="000000"/>
          <w:kern w:val="2"/>
          <w:sz w:val="28"/>
          <w:szCs w:val="28"/>
        </w:rPr>
        <w:t>ЦЫРЕНОВ ДАШИ ДАШАНИМАЕВИЧ</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rPr>
        <w:t xml:space="preserve">Кандидат экономических наук, доцент кафедры прикладной экономики </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hyperlink r:id="rId6" w:history="1">
        <w:r w:rsidRPr="001D2EF1">
          <w:rPr>
            <w:rFonts w:ascii="Times New Roman" w:eastAsia="Calibri" w:hAnsi="Times New Roman" w:cs="Times New Roman"/>
            <w:i/>
            <w:color w:val="0000FF"/>
            <w:kern w:val="2"/>
            <w:sz w:val="28"/>
            <w:szCs w:val="28"/>
            <w:u w:val="single"/>
          </w:rPr>
          <w:t>dashi555@mail.ru</w:t>
        </w:r>
      </w:hyperlink>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rPr>
        <w:t xml:space="preserve">Бурятский государственный университет имени </w:t>
      </w:r>
      <w:proofErr w:type="spellStart"/>
      <w:r w:rsidRPr="001D2EF1">
        <w:rPr>
          <w:rFonts w:ascii="Times New Roman" w:eastAsia="Calibri" w:hAnsi="Times New Roman" w:cs="Times New Roman"/>
          <w:i/>
          <w:color w:val="000000"/>
          <w:kern w:val="2"/>
          <w:sz w:val="28"/>
          <w:szCs w:val="28"/>
        </w:rPr>
        <w:t>Доржи</w:t>
      </w:r>
      <w:proofErr w:type="spellEnd"/>
      <w:r w:rsidRPr="001D2EF1">
        <w:rPr>
          <w:rFonts w:ascii="Times New Roman" w:eastAsia="Calibri" w:hAnsi="Times New Roman" w:cs="Times New Roman"/>
          <w:i/>
          <w:color w:val="000000"/>
          <w:kern w:val="2"/>
          <w:sz w:val="28"/>
          <w:szCs w:val="28"/>
        </w:rPr>
        <w:t xml:space="preserve"> Банзарова</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rPr>
      </w:pPr>
      <w:r w:rsidRPr="001D2EF1">
        <w:rPr>
          <w:rFonts w:ascii="Times New Roman" w:eastAsia="Calibri" w:hAnsi="Times New Roman" w:cs="Times New Roman"/>
          <w:i/>
          <w:color w:val="000000"/>
          <w:kern w:val="2"/>
          <w:sz w:val="28"/>
          <w:szCs w:val="28"/>
        </w:rPr>
        <w:t>Россия, г. Улан-Удэ</w:t>
      </w:r>
    </w:p>
    <w:p w:rsidR="009B4041" w:rsidRPr="001D2EF1" w:rsidRDefault="009B4041" w:rsidP="009B4041">
      <w:pPr>
        <w:spacing w:after="0" w:line="240" w:lineRule="auto"/>
        <w:ind w:firstLine="567"/>
        <w:jc w:val="right"/>
        <w:rPr>
          <w:rFonts w:ascii="Times New Roman" w:eastAsia="Calibri" w:hAnsi="Times New Roman" w:cs="Times New Roman"/>
          <w:b/>
          <w:i/>
          <w:color w:val="000000"/>
          <w:kern w:val="2"/>
          <w:sz w:val="28"/>
          <w:szCs w:val="28"/>
        </w:rPr>
      </w:pPr>
    </w:p>
    <w:p w:rsidR="009B4041" w:rsidRPr="001D2EF1" w:rsidRDefault="009B4041" w:rsidP="009B4041">
      <w:pPr>
        <w:spacing w:after="0" w:line="240" w:lineRule="auto"/>
        <w:ind w:firstLine="567"/>
        <w:jc w:val="right"/>
        <w:rPr>
          <w:rFonts w:ascii="Times New Roman" w:eastAsia="Calibri" w:hAnsi="Times New Roman" w:cs="Times New Roman"/>
          <w:b/>
          <w:color w:val="000000"/>
          <w:kern w:val="2"/>
          <w:sz w:val="28"/>
          <w:szCs w:val="28"/>
        </w:rPr>
      </w:pPr>
      <w:r w:rsidRPr="001D2EF1">
        <w:rPr>
          <w:rFonts w:ascii="Times New Roman" w:eastAsia="Calibri" w:hAnsi="Times New Roman" w:cs="Times New Roman"/>
          <w:b/>
          <w:color w:val="000000"/>
          <w:kern w:val="2"/>
          <w:sz w:val="28"/>
          <w:szCs w:val="28"/>
          <w:lang w:val="en-US"/>
        </w:rPr>
        <w:t>TSYRENOV</w:t>
      </w:r>
      <w:r w:rsidRPr="001D2EF1">
        <w:rPr>
          <w:rFonts w:ascii="Times New Roman" w:eastAsia="Calibri" w:hAnsi="Times New Roman" w:cs="Times New Roman"/>
          <w:b/>
          <w:color w:val="000000"/>
          <w:kern w:val="2"/>
          <w:sz w:val="28"/>
          <w:szCs w:val="28"/>
        </w:rPr>
        <w:t xml:space="preserve"> </w:t>
      </w:r>
      <w:r w:rsidRPr="001D2EF1">
        <w:rPr>
          <w:rFonts w:ascii="Times New Roman" w:eastAsia="Calibri" w:hAnsi="Times New Roman" w:cs="Times New Roman"/>
          <w:b/>
          <w:color w:val="000000"/>
          <w:kern w:val="2"/>
          <w:sz w:val="28"/>
          <w:szCs w:val="28"/>
          <w:lang w:val="en-US"/>
        </w:rPr>
        <w:t>DASHI</w:t>
      </w:r>
      <w:r w:rsidRPr="001D2EF1">
        <w:rPr>
          <w:rFonts w:ascii="Times New Roman" w:eastAsia="Calibri" w:hAnsi="Times New Roman" w:cs="Times New Roman"/>
          <w:b/>
          <w:color w:val="000000"/>
          <w:kern w:val="2"/>
          <w:sz w:val="28"/>
          <w:szCs w:val="28"/>
        </w:rPr>
        <w:t xml:space="preserve"> </w:t>
      </w:r>
      <w:r w:rsidRPr="001D2EF1">
        <w:rPr>
          <w:rFonts w:ascii="Times New Roman" w:eastAsia="Calibri" w:hAnsi="Times New Roman" w:cs="Times New Roman"/>
          <w:b/>
          <w:color w:val="000000"/>
          <w:kern w:val="2"/>
          <w:sz w:val="28"/>
          <w:szCs w:val="28"/>
          <w:lang w:val="en-US"/>
        </w:rPr>
        <w:t>DASHANIMAEVICH</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lang w:val="en-US"/>
        </w:rPr>
      </w:pPr>
      <w:r w:rsidRPr="001D2EF1">
        <w:rPr>
          <w:rFonts w:ascii="Times New Roman" w:eastAsia="Calibri" w:hAnsi="Times New Roman" w:cs="Times New Roman"/>
          <w:i/>
          <w:color w:val="000000"/>
          <w:kern w:val="2"/>
          <w:sz w:val="28"/>
          <w:szCs w:val="28"/>
          <w:lang w:val="en-US"/>
        </w:rPr>
        <w:t>Candidate of Economic Sciences, Associate Professor of the Department of Applied Economics</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lang w:val="en-US"/>
        </w:rPr>
      </w:pPr>
      <w:r w:rsidRPr="001D2EF1">
        <w:rPr>
          <w:rFonts w:ascii="Times New Roman" w:eastAsia="Calibri" w:hAnsi="Times New Roman" w:cs="Times New Roman"/>
          <w:i/>
          <w:color w:val="000000"/>
          <w:kern w:val="2"/>
          <w:sz w:val="28"/>
          <w:szCs w:val="28"/>
          <w:lang w:val="en-US"/>
        </w:rPr>
        <w:t xml:space="preserve">Buryat State University </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lang w:val="en-US"/>
        </w:rPr>
      </w:pPr>
      <w:r w:rsidRPr="001D2EF1">
        <w:rPr>
          <w:rFonts w:ascii="Times New Roman" w:eastAsia="Calibri" w:hAnsi="Times New Roman" w:cs="Times New Roman"/>
          <w:i/>
          <w:color w:val="000000"/>
          <w:kern w:val="2"/>
          <w:sz w:val="28"/>
          <w:szCs w:val="28"/>
          <w:lang w:val="en-US"/>
        </w:rPr>
        <w:t>Ulan-Ude, Russia</w:t>
      </w:r>
    </w:p>
    <w:p w:rsidR="009B4041" w:rsidRPr="001D2EF1" w:rsidRDefault="009B4041" w:rsidP="009B4041">
      <w:pPr>
        <w:spacing w:after="0" w:line="240" w:lineRule="auto"/>
        <w:ind w:firstLine="567"/>
        <w:jc w:val="right"/>
        <w:rPr>
          <w:rFonts w:ascii="Times New Roman" w:eastAsia="Calibri" w:hAnsi="Times New Roman" w:cs="Times New Roman"/>
          <w:i/>
          <w:color w:val="000000"/>
          <w:kern w:val="2"/>
          <w:sz w:val="28"/>
          <w:szCs w:val="28"/>
          <w:lang w:val="en-US"/>
        </w:rPr>
      </w:pPr>
    </w:p>
    <w:p w:rsidR="009B4041" w:rsidRPr="001D2EF1" w:rsidRDefault="009B4041" w:rsidP="009B4041">
      <w:pPr>
        <w:spacing w:after="0" w:line="360" w:lineRule="auto"/>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b/>
          <w:bCs/>
          <w:kern w:val="2"/>
          <w:sz w:val="28"/>
          <w:szCs w:val="28"/>
        </w:rPr>
        <w:t xml:space="preserve">Аннотация. </w:t>
      </w:r>
      <w:r w:rsidRPr="001D2EF1">
        <w:rPr>
          <w:rFonts w:ascii="Times New Roman" w:eastAsia="Calibri" w:hAnsi="Times New Roman" w:cs="Times New Roman"/>
          <w:color w:val="000000"/>
          <w:kern w:val="2"/>
          <w:sz w:val="28"/>
          <w:szCs w:val="28"/>
        </w:rPr>
        <w:t xml:space="preserve">В современных экономических условиях особую актуальность приобретают вопросы идентификации и оценки финансовых рисков. Однако понятие «финансовый риск» в науке до сих пор окончательно не сформировалась. Кроме того, до сих в научных кругах существуют дискуссии относительно классификации финансовых рисков. Таким образом, целью настоящего исследования послужило комплексное изучение понятие и видов финансовых рисков. </w:t>
      </w:r>
    </w:p>
    <w:p w:rsidR="009B4041" w:rsidRPr="001D2EF1" w:rsidRDefault="009B4041" w:rsidP="009B4041">
      <w:pPr>
        <w:spacing w:after="0" w:line="360" w:lineRule="auto"/>
        <w:jc w:val="both"/>
        <w:rPr>
          <w:rFonts w:ascii="Times New Roman" w:eastAsia="Calibri" w:hAnsi="Times New Roman" w:cs="Times New Roman"/>
          <w:color w:val="000000"/>
          <w:kern w:val="2"/>
          <w:sz w:val="28"/>
          <w:szCs w:val="28"/>
          <w:lang w:val="en-US"/>
        </w:rPr>
      </w:pPr>
      <w:r w:rsidRPr="001D2EF1">
        <w:rPr>
          <w:rFonts w:ascii="Times New Roman" w:eastAsia="Calibri" w:hAnsi="Times New Roman" w:cs="Times New Roman"/>
          <w:color w:val="000000"/>
          <w:kern w:val="2"/>
          <w:sz w:val="28"/>
          <w:szCs w:val="28"/>
        </w:rPr>
        <w:t>По результатам исследования, дано авторское определение понятию «финансовый риск», раскрыта наиболее комплексная классификация финансовых рисков. Кроме</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того</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выявлены</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некоторые</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проблемы</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управления</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финансовыми</w:t>
      </w:r>
      <w:r w:rsidRPr="001D2EF1">
        <w:rPr>
          <w:rFonts w:ascii="Times New Roman" w:eastAsia="Calibri" w:hAnsi="Times New Roman" w:cs="Times New Roman"/>
          <w:color w:val="000000"/>
          <w:kern w:val="2"/>
          <w:sz w:val="28"/>
          <w:szCs w:val="28"/>
          <w:lang w:val="en-US"/>
        </w:rPr>
        <w:t xml:space="preserve"> </w:t>
      </w:r>
      <w:r w:rsidRPr="001D2EF1">
        <w:rPr>
          <w:rFonts w:ascii="Times New Roman" w:eastAsia="Calibri" w:hAnsi="Times New Roman" w:cs="Times New Roman"/>
          <w:color w:val="000000"/>
          <w:kern w:val="2"/>
          <w:sz w:val="28"/>
          <w:szCs w:val="28"/>
        </w:rPr>
        <w:t>рисками</w:t>
      </w:r>
      <w:r w:rsidRPr="001D2EF1">
        <w:rPr>
          <w:rFonts w:ascii="Times New Roman" w:eastAsia="Calibri" w:hAnsi="Times New Roman" w:cs="Times New Roman"/>
          <w:color w:val="000000"/>
          <w:kern w:val="2"/>
          <w:sz w:val="28"/>
          <w:szCs w:val="28"/>
          <w:lang w:val="en-US"/>
        </w:rPr>
        <w:t xml:space="preserve">. </w:t>
      </w:r>
    </w:p>
    <w:p w:rsidR="009B4041" w:rsidRPr="001D2EF1" w:rsidRDefault="009B4041" w:rsidP="009B4041">
      <w:pPr>
        <w:spacing w:after="0" w:line="360" w:lineRule="auto"/>
        <w:jc w:val="both"/>
        <w:rPr>
          <w:rFonts w:ascii="Times New Roman" w:eastAsia="Calibri" w:hAnsi="Times New Roman" w:cs="Times New Roman"/>
          <w:color w:val="000000"/>
          <w:kern w:val="2"/>
          <w:sz w:val="28"/>
          <w:szCs w:val="28"/>
          <w:lang w:val="en-US"/>
        </w:rPr>
      </w:pPr>
      <w:r w:rsidRPr="001D2EF1">
        <w:rPr>
          <w:rFonts w:ascii="Times New Roman" w:eastAsia="Calibri" w:hAnsi="Times New Roman" w:cs="Times New Roman"/>
          <w:b/>
          <w:kern w:val="2"/>
          <w:sz w:val="28"/>
          <w:szCs w:val="28"/>
          <w:lang w:val="en-US"/>
        </w:rPr>
        <w:t>Abstract.</w:t>
      </w:r>
      <w:r w:rsidRPr="001D2EF1">
        <w:rPr>
          <w:rFonts w:ascii="Times New Roman" w:eastAsia="Calibri" w:hAnsi="Times New Roman" w:cs="Times New Roman"/>
          <w:color w:val="000000"/>
          <w:kern w:val="2"/>
          <w:sz w:val="28"/>
          <w:szCs w:val="28"/>
          <w:lang w:val="en-US"/>
        </w:rPr>
        <w:t xml:space="preserve"> In modern economic conditions, the issues of identification and assessment of financial risks are of particular relevance. However, the concept of </w:t>
      </w:r>
      <w:r w:rsidRPr="001D2EF1">
        <w:rPr>
          <w:rFonts w:ascii="Times New Roman" w:eastAsia="Calibri" w:hAnsi="Times New Roman" w:cs="Times New Roman"/>
          <w:color w:val="000000"/>
          <w:kern w:val="2"/>
          <w:sz w:val="28"/>
          <w:szCs w:val="28"/>
          <w:lang w:val="en-US"/>
        </w:rPr>
        <w:lastRenderedPageBreak/>
        <w:t xml:space="preserve">«financial risk» has not yet been fully formed in science. In addition, there are still discussions in scientific circles regarding the classification of financial risks. Thus, the purpose of this study was a comprehensive study of the concept and types of financial risks. </w:t>
      </w:r>
    </w:p>
    <w:p w:rsidR="009B4041" w:rsidRPr="001D2EF1" w:rsidRDefault="009B4041" w:rsidP="009B4041">
      <w:pPr>
        <w:spacing w:after="0" w:line="360" w:lineRule="auto"/>
        <w:jc w:val="both"/>
        <w:rPr>
          <w:rFonts w:ascii="Times New Roman" w:eastAsia="Calibri" w:hAnsi="Times New Roman" w:cs="Times New Roman"/>
          <w:b/>
          <w:kern w:val="2"/>
          <w:sz w:val="28"/>
          <w:szCs w:val="28"/>
          <w:lang w:val="en-US"/>
        </w:rPr>
      </w:pPr>
      <w:r w:rsidRPr="001D2EF1">
        <w:rPr>
          <w:rFonts w:ascii="Times New Roman" w:eastAsia="Calibri" w:hAnsi="Times New Roman" w:cs="Times New Roman"/>
          <w:color w:val="000000"/>
          <w:kern w:val="2"/>
          <w:sz w:val="28"/>
          <w:szCs w:val="28"/>
          <w:lang w:val="en-US"/>
        </w:rPr>
        <w:t xml:space="preserve">According to the results of the study, the author's definition of the concept of "financial risk" is </w:t>
      </w:r>
      <w:proofErr w:type="gramStart"/>
      <w:r w:rsidRPr="001D2EF1">
        <w:rPr>
          <w:rFonts w:ascii="Times New Roman" w:eastAsia="Calibri" w:hAnsi="Times New Roman" w:cs="Times New Roman"/>
          <w:color w:val="000000"/>
          <w:kern w:val="2"/>
          <w:sz w:val="28"/>
          <w:szCs w:val="28"/>
          <w:lang w:val="en-US"/>
        </w:rPr>
        <w:t>given,</w:t>
      </w:r>
      <w:proofErr w:type="gramEnd"/>
      <w:r w:rsidRPr="001D2EF1">
        <w:rPr>
          <w:rFonts w:ascii="Times New Roman" w:eastAsia="Calibri" w:hAnsi="Times New Roman" w:cs="Times New Roman"/>
          <w:color w:val="000000"/>
          <w:kern w:val="2"/>
          <w:sz w:val="28"/>
          <w:szCs w:val="28"/>
          <w:lang w:val="en-US"/>
        </w:rPr>
        <w:t xml:space="preserve"> the most comprehensive classification of financial risks is disclosed. In addition, some problems of financial risk management have been identified.</w:t>
      </w:r>
    </w:p>
    <w:p w:rsidR="009B4041" w:rsidRPr="001D2EF1" w:rsidRDefault="009B4041" w:rsidP="009B4041">
      <w:pPr>
        <w:spacing w:after="0" w:line="360" w:lineRule="auto"/>
        <w:jc w:val="both"/>
        <w:rPr>
          <w:rFonts w:ascii="Times New Roman" w:eastAsia="Calibri" w:hAnsi="Times New Roman" w:cs="Times New Roman"/>
          <w:b/>
          <w:bCs/>
          <w:kern w:val="2"/>
          <w:sz w:val="28"/>
          <w:szCs w:val="28"/>
          <w:lang w:val="en-US"/>
        </w:rPr>
      </w:pPr>
    </w:p>
    <w:p w:rsidR="009B4041" w:rsidRPr="001D2EF1" w:rsidRDefault="009B4041" w:rsidP="009B4041">
      <w:pPr>
        <w:spacing w:after="0" w:line="360" w:lineRule="auto"/>
        <w:jc w:val="both"/>
        <w:rPr>
          <w:rFonts w:ascii="Times New Roman" w:eastAsia="Calibri" w:hAnsi="Times New Roman" w:cs="Times New Roman"/>
          <w:b/>
          <w:bCs/>
          <w:kern w:val="2"/>
          <w:sz w:val="28"/>
          <w:szCs w:val="28"/>
        </w:rPr>
      </w:pPr>
      <w:r w:rsidRPr="001D2EF1">
        <w:rPr>
          <w:rFonts w:ascii="Times New Roman" w:eastAsia="Calibri" w:hAnsi="Times New Roman" w:cs="Times New Roman"/>
          <w:b/>
          <w:bCs/>
          <w:kern w:val="2"/>
          <w:sz w:val="28"/>
          <w:szCs w:val="28"/>
        </w:rPr>
        <w:t xml:space="preserve">Ключевые слова: </w:t>
      </w:r>
      <w:r w:rsidRPr="001D2EF1">
        <w:rPr>
          <w:rFonts w:ascii="Times New Roman" w:eastAsia="Calibri" w:hAnsi="Times New Roman" w:cs="Times New Roman"/>
          <w:kern w:val="2"/>
          <w:sz w:val="28"/>
          <w:szCs w:val="28"/>
        </w:rPr>
        <w:t>финансовые риски, риск, неопределенность, классификация, управление финансовыми рисками.</w:t>
      </w:r>
      <w:r w:rsidRPr="001D2EF1">
        <w:rPr>
          <w:rFonts w:ascii="Times New Roman" w:eastAsia="Calibri" w:hAnsi="Times New Roman" w:cs="Times New Roman"/>
          <w:b/>
          <w:bCs/>
          <w:kern w:val="2"/>
          <w:sz w:val="28"/>
          <w:szCs w:val="28"/>
        </w:rPr>
        <w:t xml:space="preserve"> </w:t>
      </w:r>
    </w:p>
    <w:p w:rsidR="009B4041" w:rsidRPr="001D2EF1" w:rsidRDefault="009B4041" w:rsidP="009B4041">
      <w:pPr>
        <w:spacing w:after="0" w:line="360" w:lineRule="auto"/>
        <w:jc w:val="both"/>
        <w:rPr>
          <w:rFonts w:ascii="Times New Roman" w:eastAsia="Calibri" w:hAnsi="Times New Roman" w:cs="Times New Roman"/>
          <w:b/>
          <w:bCs/>
          <w:kern w:val="2"/>
          <w:sz w:val="28"/>
          <w:szCs w:val="28"/>
          <w:lang w:val="en-US"/>
        </w:rPr>
      </w:pPr>
      <w:r w:rsidRPr="001D2EF1">
        <w:rPr>
          <w:rFonts w:ascii="Times New Roman" w:eastAsia="Calibri" w:hAnsi="Times New Roman" w:cs="Times New Roman"/>
          <w:b/>
          <w:kern w:val="2"/>
          <w:sz w:val="28"/>
          <w:szCs w:val="28"/>
          <w:lang w:val="en-US"/>
        </w:rPr>
        <w:t>Key words:</w:t>
      </w:r>
      <w:r w:rsidRPr="001D2EF1">
        <w:rPr>
          <w:rFonts w:ascii="Times New Roman" w:eastAsia="Calibri" w:hAnsi="Times New Roman" w:cs="Times New Roman"/>
          <w:color w:val="000000"/>
          <w:kern w:val="2"/>
          <w:sz w:val="28"/>
          <w:szCs w:val="28"/>
          <w:lang w:val="en-US"/>
        </w:rPr>
        <w:t xml:space="preserve"> financial risks, risk, uncertainty, classification, financial risk management.</w:t>
      </w:r>
    </w:p>
    <w:p w:rsidR="009B4041" w:rsidRPr="001D2EF1" w:rsidRDefault="009B4041" w:rsidP="009B4041">
      <w:pPr>
        <w:spacing w:after="0" w:line="360" w:lineRule="auto"/>
        <w:ind w:firstLine="567"/>
        <w:jc w:val="both"/>
        <w:rPr>
          <w:rFonts w:ascii="Times New Roman" w:eastAsia="Calibri" w:hAnsi="Times New Roman" w:cs="Times New Roman"/>
          <w:b/>
          <w:bCs/>
          <w:kern w:val="2"/>
          <w:sz w:val="28"/>
          <w:szCs w:val="28"/>
          <w:lang w:val="en-US"/>
        </w:rPr>
      </w:pPr>
    </w:p>
    <w:p w:rsidR="009B4041" w:rsidRPr="001D2EF1" w:rsidRDefault="009B4041" w:rsidP="009B4041">
      <w:pPr>
        <w:spacing w:after="0" w:line="360" w:lineRule="auto"/>
        <w:ind w:firstLine="567"/>
        <w:jc w:val="both"/>
        <w:rPr>
          <w:rFonts w:ascii="Times New Roman" w:eastAsia="Calibri" w:hAnsi="Times New Roman" w:cs="Times New Roman"/>
          <w:kern w:val="2"/>
          <w:sz w:val="28"/>
          <w:szCs w:val="28"/>
        </w:rPr>
      </w:pPr>
      <w:r w:rsidRPr="001D2EF1">
        <w:rPr>
          <w:rFonts w:ascii="Times New Roman" w:eastAsia="Calibri" w:hAnsi="Times New Roman" w:cs="Times New Roman"/>
          <w:kern w:val="2"/>
          <w:sz w:val="28"/>
          <w:szCs w:val="28"/>
        </w:rPr>
        <w:t xml:space="preserve">Введение. В настоящее время любая коммерческая деятельность тесно связана с определенными рисками. Особенно важным для участников </w:t>
      </w:r>
      <w:proofErr w:type="gramStart"/>
      <w:r w:rsidRPr="001D2EF1">
        <w:rPr>
          <w:rFonts w:ascii="Times New Roman" w:eastAsia="Calibri" w:hAnsi="Times New Roman" w:cs="Times New Roman"/>
          <w:kern w:val="2"/>
          <w:sz w:val="28"/>
          <w:szCs w:val="28"/>
        </w:rPr>
        <w:t>экономических процессов</w:t>
      </w:r>
      <w:proofErr w:type="gramEnd"/>
      <w:r w:rsidRPr="001D2EF1">
        <w:rPr>
          <w:rFonts w:ascii="Times New Roman" w:eastAsia="Calibri" w:hAnsi="Times New Roman" w:cs="Times New Roman"/>
          <w:kern w:val="2"/>
          <w:sz w:val="28"/>
          <w:szCs w:val="28"/>
        </w:rPr>
        <w:t xml:space="preserve"> является финансовый риск, который проявляется в утрате денежных средств.</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kern w:val="2"/>
          <w:sz w:val="28"/>
          <w:szCs w:val="28"/>
        </w:rPr>
        <w:t xml:space="preserve">Кроме того, в условиях обострения геополитической ситуации, усиливающих давление экономических санкций на российскую экономику, возрастает вероятность возникновения рисковых ситуаций. </w:t>
      </w:r>
      <w:r w:rsidRPr="001D2EF1">
        <w:rPr>
          <w:rFonts w:ascii="Times New Roman" w:eastAsia="Calibri" w:hAnsi="Times New Roman" w:cs="Times New Roman"/>
          <w:color w:val="000000"/>
          <w:kern w:val="2"/>
          <w:sz w:val="28"/>
          <w:szCs w:val="28"/>
        </w:rPr>
        <w:t xml:space="preserve">Это делает крайне актуальным понимание роли финансового риска в деятельности организаций со стороны управленцев и владельцев бизнеса.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Проблема финансовых рисков в современных экономических условиях раскрыта в многочисленных трудах ученых и специалистов. Однако до сих пор не выработано единого подхода к определению понятия «финансовый риск». Кроме того, до сих в научных кругах существуют дискуссии относительно классификации финансовых рисков.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Таким образом, целью настоящего исследования является комплексное изучение понятия и видов финансовых рисков.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lastRenderedPageBreak/>
        <w:t>Основная часть. Понятие «финансовый риск» возникло с появлением денежных отношений. Однако интерпретация анализируемого термина была различна. Например, А. Смит в своей работе «Исследование о природе и причинах богатства народов» анализировал предпринимательскую прибыль и в структуре дохода выделял такой составной элемент как «плата за опасность предпринимательства», в виде возмещения возможного убытка. Соответственно, данный ученый оперировал таким понятием как «</w:t>
      </w:r>
      <w:proofErr w:type="spellStart"/>
      <w:r w:rsidRPr="001D2EF1">
        <w:rPr>
          <w:rFonts w:ascii="Times New Roman" w:eastAsia="Calibri" w:hAnsi="Times New Roman" w:cs="Times New Roman"/>
          <w:color w:val="000000"/>
          <w:kern w:val="2"/>
          <w:sz w:val="28"/>
          <w:szCs w:val="28"/>
        </w:rPr>
        <w:t>Hazard</w:t>
      </w:r>
      <w:proofErr w:type="spellEnd"/>
      <w:r w:rsidRPr="001D2EF1">
        <w:rPr>
          <w:rFonts w:ascii="Times New Roman" w:eastAsia="Calibri" w:hAnsi="Times New Roman" w:cs="Times New Roman"/>
          <w:color w:val="000000"/>
          <w:kern w:val="2"/>
          <w:sz w:val="28"/>
          <w:szCs w:val="28"/>
        </w:rPr>
        <w:t xml:space="preserve">» (опасность). Однако одним из первых кто стал использовать понятие «риск» являлся Л. </w:t>
      </w:r>
      <w:proofErr w:type="spellStart"/>
      <w:r w:rsidRPr="001D2EF1">
        <w:rPr>
          <w:rFonts w:ascii="Times New Roman" w:eastAsia="Calibri" w:hAnsi="Times New Roman" w:cs="Times New Roman"/>
          <w:color w:val="000000"/>
          <w:kern w:val="2"/>
          <w:sz w:val="28"/>
          <w:szCs w:val="28"/>
        </w:rPr>
        <w:t>Пачоли</w:t>
      </w:r>
      <w:proofErr w:type="spellEnd"/>
      <w:r w:rsidRPr="001D2EF1">
        <w:rPr>
          <w:rFonts w:ascii="Times New Roman" w:eastAsia="Calibri" w:hAnsi="Times New Roman" w:cs="Times New Roman"/>
          <w:color w:val="000000"/>
          <w:kern w:val="2"/>
          <w:sz w:val="28"/>
          <w:szCs w:val="28"/>
        </w:rPr>
        <w:t xml:space="preserve">, который применял данный термин к страховым операциям.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shd w:val="clear" w:color="auto" w:fill="FFFFFF"/>
        </w:rPr>
      </w:pPr>
      <w:r w:rsidRPr="001D2EF1">
        <w:rPr>
          <w:rFonts w:ascii="Times New Roman" w:eastAsia="Calibri" w:hAnsi="Times New Roman" w:cs="Times New Roman"/>
          <w:color w:val="000000"/>
          <w:kern w:val="2"/>
          <w:sz w:val="28"/>
          <w:szCs w:val="28"/>
        </w:rPr>
        <w:t xml:space="preserve">Появление понятия «финансовый риск» в России связано с активным развитием предпринимательства. Это период приходится на 1921-1928 гг. </w:t>
      </w:r>
      <w:r w:rsidRPr="001D2EF1">
        <w:rPr>
          <w:rFonts w:ascii="Times New Roman" w:eastAsia="Calibri" w:hAnsi="Times New Roman" w:cs="Times New Roman"/>
          <w:color w:val="000000"/>
          <w:kern w:val="2"/>
          <w:sz w:val="28"/>
          <w:szCs w:val="28"/>
          <w:shd w:val="clear" w:color="auto" w:fill="FFFFFF"/>
        </w:rPr>
        <w:t>В нормативных актах того времени закреплялось понятие нормального или допустимого производственно-хозяйственного риска.</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В настоящее время понятие «финансовый риск» активно применяется в деловом обороте, однако действующее российское законодательство не содержит определения данного термина, хотя определяет круг рисков, которые под него подпадают. Например, в Законе РФ «Об организации страхового дела в Российской Федерации» указывается, что объектами страхования финансовых рисков могут быть имущественные интересы страхователя, связанные с риском неполучения доходов и возникновения непредвиденных расходов [1].</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Прежде </w:t>
      </w:r>
      <w:proofErr w:type="gramStart"/>
      <w:r w:rsidRPr="001D2EF1">
        <w:rPr>
          <w:rFonts w:ascii="Times New Roman" w:eastAsia="Calibri" w:hAnsi="Times New Roman" w:cs="Times New Roman"/>
          <w:color w:val="000000"/>
          <w:kern w:val="2"/>
          <w:sz w:val="28"/>
          <w:szCs w:val="28"/>
        </w:rPr>
        <w:t>всего</w:t>
      </w:r>
      <w:proofErr w:type="gramEnd"/>
      <w:r w:rsidRPr="001D2EF1">
        <w:rPr>
          <w:rFonts w:ascii="Times New Roman" w:eastAsia="Calibri" w:hAnsi="Times New Roman" w:cs="Times New Roman"/>
          <w:color w:val="000000"/>
          <w:kern w:val="2"/>
          <w:sz w:val="28"/>
          <w:szCs w:val="28"/>
        </w:rPr>
        <w:t xml:space="preserve"> отметим, что понятие «риск» является обширным понятие, включающим множество различных интерпретаций. Если рассматривать с предпринимательской точки зрения, то под риском понимается возможное событие, которое в состоянии изменить ожидаемый результат хозяйственной деятельности компании.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Так, в современной экономической литературе выделяются три подхода к определению «финансовый риск».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shd w:val="clear" w:color="auto" w:fill="FFFFFF"/>
        </w:rPr>
      </w:pPr>
      <w:r w:rsidRPr="001D2EF1">
        <w:rPr>
          <w:rFonts w:ascii="Times New Roman" w:eastAsia="Calibri" w:hAnsi="Times New Roman" w:cs="Times New Roman"/>
          <w:color w:val="000000"/>
          <w:kern w:val="2"/>
          <w:sz w:val="28"/>
          <w:szCs w:val="28"/>
          <w:shd w:val="clear" w:color="auto" w:fill="FFFFFF"/>
        </w:rPr>
        <w:lastRenderedPageBreak/>
        <w:t xml:space="preserve">Первый подход в основу изучения кладет трактовку финансового риска как вероятности возникновения потерь. Данный подход поддержан такими учеными, как В.В. Ковалевым, В.М. </w:t>
      </w:r>
      <w:proofErr w:type="spellStart"/>
      <w:r w:rsidRPr="001D2EF1">
        <w:rPr>
          <w:rFonts w:ascii="Times New Roman" w:eastAsia="Calibri" w:hAnsi="Times New Roman" w:cs="Times New Roman"/>
          <w:color w:val="000000"/>
          <w:kern w:val="2"/>
          <w:sz w:val="28"/>
          <w:szCs w:val="28"/>
          <w:shd w:val="clear" w:color="auto" w:fill="FFFFFF"/>
        </w:rPr>
        <w:t>Баутиным</w:t>
      </w:r>
      <w:proofErr w:type="spellEnd"/>
      <w:r w:rsidRPr="001D2EF1">
        <w:rPr>
          <w:rFonts w:ascii="Times New Roman" w:eastAsia="Calibri" w:hAnsi="Times New Roman" w:cs="Times New Roman"/>
          <w:color w:val="000000"/>
          <w:kern w:val="2"/>
          <w:sz w:val="28"/>
          <w:szCs w:val="28"/>
          <w:shd w:val="clear" w:color="auto" w:fill="FFFFFF"/>
        </w:rPr>
        <w:t xml:space="preserve">, И.Т. Балабановым, С.И. </w:t>
      </w:r>
      <w:proofErr w:type="spellStart"/>
      <w:r w:rsidRPr="001D2EF1">
        <w:rPr>
          <w:rFonts w:ascii="Times New Roman" w:eastAsia="Calibri" w:hAnsi="Times New Roman" w:cs="Times New Roman"/>
          <w:color w:val="000000"/>
          <w:kern w:val="2"/>
          <w:sz w:val="28"/>
          <w:szCs w:val="28"/>
          <w:shd w:val="clear" w:color="auto" w:fill="FFFFFF"/>
        </w:rPr>
        <w:t>Газаховым</w:t>
      </w:r>
      <w:proofErr w:type="spellEnd"/>
      <w:r w:rsidRPr="001D2EF1">
        <w:rPr>
          <w:rFonts w:ascii="Times New Roman" w:eastAsia="Calibri" w:hAnsi="Times New Roman" w:cs="Times New Roman"/>
          <w:color w:val="000000"/>
          <w:kern w:val="2"/>
          <w:sz w:val="28"/>
          <w:szCs w:val="28"/>
          <w:shd w:val="clear" w:color="auto" w:fill="FFFFFF"/>
        </w:rPr>
        <w:t xml:space="preserve">, Е.С. Стояновой и др. Так, например, С.И. </w:t>
      </w:r>
      <w:proofErr w:type="spellStart"/>
      <w:r w:rsidRPr="001D2EF1">
        <w:rPr>
          <w:rFonts w:ascii="Times New Roman" w:eastAsia="Calibri" w:hAnsi="Times New Roman" w:cs="Times New Roman"/>
          <w:color w:val="000000"/>
          <w:kern w:val="2"/>
          <w:sz w:val="28"/>
          <w:szCs w:val="28"/>
          <w:shd w:val="clear" w:color="auto" w:fill="FFFFFF"/>
        </w:rPr>
        <w:t>Газахова</w:t>
      </w:r>
      <w:proofErr w:type="spellEnd"/>
      <w:r w:rsidRPr="001D2EF1">
        <w:rPr>
          <w:rFonts w:ascii="Times New Roman" w:eastAsia="Calibri" w:hAnsi="Times New Roman" w:cs="Times New Roman"/>
          <w:color w:val="000000"/>
          <w:kern w:val="2"/>
          <w:sz w:val="28"/>
          <w:szCs w:val="28"/>
          <w:shd w:val="clear" w:color="auto" w:fill="FFFFFF"/>
        </w:rPr>
        <w:t xml:space="preserve"> пишет, что финансовый риск – это всегда вероятность возникновения негативных финансовых последствий, </w:t>
      </w:r>
      <w:proofErr w:type="gramStart"/>
      <w:r w:rsidRPr="001D2EF1">
        <w:rPr>
          <w:rFonts w:ascii="Times New Roman" w:eastAsia="Calibri" w:hAnsi="Times New Roman" w:cs="Times New Roman"/>
          <w:color w:val="000000"/>
          <w:kern w:val="2"/>
          <w:sz w:val="28"/>
          <w:szCs w:val="28"/>
          <w:shd w:val="clear" w:color="auto" w:fill="FFFFFF"/>
        </w:rPr>
        <w:t>которые</w:t>
      </w:r>
      <w:proofErr w:type="gramEnd"/>
      <w:r w:rsidRPr="001D2EF1">
        <w:rPr>
          <w:rFonts w:ascii="Times New Roman" w:eastAsia="Calibri" w:hAnsi="Times New Roman" w:cs="Times New Roman"/>
          <w:color w:val="000000"/>
          <w:kern w:val="2"/>
          <w:sz w:val="28"/>
          <w:szCs w:val="28"/>
          <w:shd w:val="clear" w:color="auto" w:fill="FFFFFF"/>
        </w:rPr>
        <w:t xml:space="preserve"> прежде всего выражаются в виде потери дохода и денежных средств </w:t>
      </w:r>
      <w:r w:rsidRPr="001D2EF1">
        <w:rPr>
          <w:rFonts w:ascii="Times New Roman" w:eastAsia="Calibri" w:hAnsi="Times New Roman" w:cs="Times New Roman"/>
          <w:color w:val="000000"/>
          <w:kern w:val="2"/>
          <w:sz w:val="28"/>
          <w:szCs w:val="28"/>
        </w:rPr>
        <w:t>[4].</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Второй подход обоснован тем, что финансовый риск – это не только вероятность возникновения потерь, но и возможность положительных исходов. Данной трактовкой апеллируют такие ученые, как Е.Б. </w:t>
      </w:r>
      <w:proofErr w:type="spellStart"/>
      <w:r w:rsidRPr="001D2EF1">
        <w:rPr>
          <w:rFonts w:ascii="Times New Roman" w:eastAsia="Calibri" w:hAnsi="Times New Roman" w:cs="Times New Roman"/>
          <w:color w:val="000000"/>
          <w:kern w:val="2"/>
          <w:sz w:val="28"/>
          <w:szCs w:val="28"/>
        </w:rPr>
        <w:t>Кувшинкина</w:t>
      </w:r>
      <w:proofErr w:type="spellEnd"/>
      <w:r w:rsidRPr="001D2EF1">
        <w:rPr>
          <w:rFonts w:ascii="Times New Roman" w:eastAsia="Calibri" w:hAnsi="Times New Roman" w:cs="Times New Roman"/>
          <w:color w:val="000000"/>
          <w:kern w:val="2"/>
          <w:sz w:val="28"/>
          <w:szCs w:val="28"/>
        </w:rPr>
        <w:t xml:space="preserve">, которая в своей научной работе, утверждает, что финансовый риск – это вариабельность (потери, шансы) фактических исходов деятельности современной компании [7]. </w:t>
      </w:r>
      <w:r w:rsidRPr="001D2EF1">
        <w:rPr>
          <w:rFonts w:ascii="Times New Roman" w:eastAsia="Calibri" w:hAnsi="Times New Roman" w:cs="Times New Roman"/>
          <w:kern w:val="2"/>
          <w:sz w:val="28"/>
          <w:szCs w:val="28"/>
        </w:rPr>
        <w:t xml:space="preserve">А.С. Оганян в своей научной статье, поддерживает данную точку зрения, и приходит к выводу, что финансовый риск – это ситуация, которая связанна с наличием выбора альтернатив путем оценки вероятности наступления рискового события, влекущего как положительные, так и отрицательные последствия </w:t>
      </w:r>
      <w:r w:rsidRPr="001D2EF1">
        <w:rPr>
          <w:rFonts w:ascii="Times New Roman" w:eastAsia="Calibri" w:hAnsi="Times New Roman" w:cs="Times New Roman"/>
          <w:color w:val="000000"/>
          <w:kern w:val="2"/>
          <w:sz w:val="28"/>
          <w:szCs w:val="28"/>
        </w:rPr>
        <w:t>[8].</w:t>
      </w:r>
    </w:p>
    <w:p w:rsidR="009B4041" w:rsidRPr="001D2EF1" w:rsidRDefault="009B4041" w:rsidP="009B4041">
      <w:pPr>
        <w:spacing w:after="0" w:line="360" w:lineRule="auto"/>
        <w:ind w:firstLine="567"/>
        <w:jc w:val="both"/>
        <w:rPr>
          <w:rFonts w:ascii="Times New Roman" w:eastAsia="Calibri" w:hAnsi="Times New Roman" w:cs="Times New Roman"/>
          <w:kern w:val="2"/>
          <w:sz w:val="28"/>
          <w:szCs w:val="28"/>
        </w:rPr>
      </w:pPr>
      <w:r w:rsidRPr="001D2EF1">
        <w:rPr>
          <w:rFonts w:ascii="Times New Roman" w:eastAsia="Calibri" w:hAnsi="Times New Roman" w:cs="Times New Roman"/>
          <w:kern w:val="2"/>
          <w:sz w:val="28"/>
          <w:szCs w:val="28"/>
        </w:rPr>
        <w:t xml:space="preserve">И наконец, согласно третьему подходу, финансовый риск есть вероятность отклонения фактического результата </w:t>
      </w:r>
      <w:proofErr w:type="gramStart"/>
      <w:r w:rsidRPr="001D2EF1">
        <w:rPr>
          <w:rFonts w:ascii="Times New Roman" w:eastAsia="Calibri" w:hAnsi="Times New Roman" w:cs="Times New Roman"/>
          <w:kern w:val="2"/>
          <w:sz w:val="28"/>
          <w:szCs w:val="28"/>
        </w:rPr>
        <w:t>от</w:t>
      </w:r>
      <w:proofErr w:type="gramEnd"/>
      <w:r w:rsidRPr="001D2EF1">
        <w:rPr>
          <w:rFonts w:ascii="Times New Roman" w:eastAsia="Calibri" w:hAnsi="Times New Roman" w:cs="Times New Roman"/>
          <w:kern w:val="2"/>
          <w:sz w:val="28"/>
          <w:szCs w:val="28"/>
        </w:rPr>
        <w:t xml:space="preserve"> ожидаемого. Такой подход поддерживают Э.А. Уткин, И.Я. </w:t>
      </w:r>
      <w:proofErr w:type="spellStart"/>
      <w:r w:rsidRPr="001D2EF1">
        <w:rPr>
          <w:rFonts w:ascii="Times New Roman" w:eastAsia="Calibri" w:hAnsi="Times New Roman" w:cs="Times New Roman"/>
          <w:kern w:val="2"/>
          <w:sz w:val="28"/>
          <w:szCs w:val="28"/>
        </w:rPr>
        <w:t>Лукасевич</w:t>
      </w:r>
      <w:proofErr w:type="spellEnd"/>
      <w:r w:rsidRPr="001D2EF1">
        <w:rPr>
          <w:rFonts w:ascii="Times New Roman" w:eastAsia="Calibri" w:hAnsi="Times New Roman" w:cs="Times New Roman"/>
          <w:kern w:val="2"/>
          <w:sz w:val="28"/>
          <w:szCs w:val="28"/>
        </w:rPr>
        <w:t xml:space="preserve">, Н.А. </w:t>
      </w:r>
      <w:proofErr w:type="spellStart"/>
      <w:r w:rsidRPr="001D2EF1">
        <w:rPr>
          <w:rFonts w:ascii="Times New Roman" w:eastAsia="Calibri" w:hAnsi="Times New Roman" w:cs="Times New Roman"/>
          <w:kern w:val="2"/>
          <w:sz w:val="28"/>
          <w:szCs w:val="28"/>
        </w:rPr>
        <w:t>Рыхтикова</w:t>
      </w:r>
      <w:proofErr w:type="spellEnd"/>
      <w:r w:rsidRPr="001D2EF1">
        <w:rPr>
          <w:rFonts w:ascii="Times New Roman" w:eastAsia="Calibri" w:hAnsi="Times New Roman" w:cs="Times New Roman"/>
          <w:kern w:val="2"/>
          <w:sz w:val="28"/>
          <w:szCs w:val="28"/>
        </w:rPr>
        <w:t xml:space="preserve">, А.В. Федоров и др. По мнению А.В. Федорова, уровень финансового риска может привести к невозможности достижения цели, из-за неопределенности ожидаемого результата и субъективной оценки этого результата </w:t>
      </w:r>
      <w:r w:rsidRPr="001D2EF1">
        <w:rPr>
          <w:rFonts w:ascii="Times New Roman" w:eastAsia="Calibri" w:hAnsi="Times New Roman" w:cs="Times New Roman"/>
          <w:color w:val="000000"/>
          <w:kern w:val="2"/>
          <w:sz w:val="28"/>
          <w:szCs w:val="28"/>
        </w:rPr>
        <w:t>[10].</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kern w:val="2"/>
          <w:sz w:val="28"/>
          <w:szCs w:val="28"/>
        </w:rPr>
        <w:t xml:space="preserve">Не </w:t>
      </w:r>
      <w:proofErr w:type="gramStart"/>
      <w:r w:rsidRPr="001D2EF1">
        <w:rPr>
          <w:rFonts w:ascii="Times New Roman" w:eastAsia="Calibri" w:hAnsi="Times New Roman" w:cs="Times New Roman"/>
          <w:kern w:val="2"/>
          <w:sz w:val="28"/>
          <w:szCs w:val="28"/>
        </w:rPr>
        <w:t xml:space="preserve">ставя под сомнения каждый из </w:t>
      </w:r>
      <w:r w:rsidRPr="001D2EF1">
        <w:rPr>
          <w:rFonts w:ascii="Times New Roman" w:eastAsia="Calibri" w:hAnsi="Times New Roman" w:cs="Times New Roman"/>
          <w:color w:val="000000"/>
          <w:kern w:val="2"/>
          <w:sz w:val="28"/>
          <w:szCs w:val="28"/>
        </w:rPr>
        <w:t>перечисленных подходов к анализируемому понятию дадим собственное определение</w:t>
      </w:r>
      <w:proofErr w:type="gramEnd"/>
      <w:r w:rsidRPr="001D2EF1">
        <w:rPr>
          <w:rFonts w:ascii="Times New Roman" w:eastAsia="Calibri" w:hAnsi="Times New Roman" w:cs="Times New Roman"/>
          <w:color w:val="000000"/>
          <w:kern w:val="2"/>
          <w:sz w:val="28"/>
          <w:szCs w:val="28"/>
        </w:rPr>
        <w:t xml:space="preserve"> понятия «финансовый риск». Финансовый риск – возможность отклонения от заранее определенных целей и планируемых значений финансовых показателей в неопределенных условиях, которые могут привести как к потерям, так и к получению дополнительных выгод и положительных результатов. </w:t>
      </w:r>
      <w:proofErr w:type="gramStart"/>
      <w:r w:rsidRPr="001D2EF1">
        <w:rPr>
          <w:rFonts w:ascii="Times New Roman" w:eastAsia="Calibri" w:hAnsi="Times New Roman" w:cs="Times New Roman"/>
          <w:color w:val="000000"/>
          <w:kern w:val="2"/>
          <w:sz w:val="28"/>
          <w:szCs w:val="28"/>
        </w:rPr>
        <w:t>Также</w:t>
      </w:r>
      <w:proofErr w:type="gramEnd"/>
      <w:r w:rsidRPr="001D2EF1">
        <w:rPr>
          <w:rFonts w:ascii="Times New Roman" w:eastAsia="Calibri" w:hAnsi="Times New Roman" w:cs="Times New Roman"/>
          <w:color w:val="000000"/>
          <w:kern w:val="2"/>
          <w:sz w:val="28"/>
          <w:szCs w:val="28"/>
        </w:rPr>
        <w:t xml:space="preserve"> по мнению Ю. С. </w:t>
      </w:r>
      <w:proofErr w:type="spellStart"/>
      <w:r w:rsidRPr="001D2EF1">
        <w:rPr>
          <w:rFonts w:ascii="Times New Roman" w:eastAsia="Calibri" w:hAnsi="Times New Roman" w:cs="Times New Roman"/>
          <w:color w:val="000000"/>
          <w:kern w:val="2"/>
          <w:sz w:val="28"/>
          <w:szCs w:val="28"/>
        </w:rPr>
        <w:t>Булгатовой</w:t>
      </w:r>
      <w:proofErr w:type="spellEnd"/>
      <w:r w:rsidRPr="001D2EF1">
        <w:rPr>
          <w:rFonts w:ascii="Times New Roman" w:eastAsia="Calibri" w:hAnsi="Times New Roman" w:cs="Times New Roman"/>
          <w:color w:val="000000"/>
          <w:kern w:val="2"/>
          <w:sz w:val="28"/>
          <w:szCs w:val="28"/>
        </w:rPr>
        <w:t xml:space="preserve">, Д. Д. Цыренова, А. Е. Герасименко целью системы </w:t>
      </w:r>
      <w:r w:rsidRPr="001D2EF1">
        <w:rPr>
          <w:rFonts w:ascii="Times New Roman" w:eastAsia="Calibri" w:hAnsi="Times New Roman" w:cs="Times New Roman"/>
          <w:color w:val="000000"/>
          <w:kern w:val="2"/>
          <w:sz w:val="28"/>
          <w:szCs w:val="28"/>
        </w:rPr>
        <w:lastRenderedPageBreak/>
        <w:t>управления рисками является уменьшение влияния непредвиденных факторов на функционирование объекта исследования [3].</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В рамках настоящего исследования нельзя не затронуть вопрос о классификации финансовых рисков. Обзор литературы показал, что авторы выделяют различные критерии (основания) классификации финансовых рисков и соответственно сами виды.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Н.А. </w:t>
      </w:r>
      <w:proofErr w:type="spellStart"/>
      <w:r w:rsidRPr="001D2EF1">
        <w:rPr>
          <w:rFonts w:ascii="Times New Roman" w:eastAsia="Calibri" w:hAnsi="Times New Roman" w:cs="Times New Roman"/>
          <w:color w:val="000000"/>
          <w:kern w:val="2"/>
          <w:sz w:val="28"/>
          <w:szCs w:val="28"/>
        </w:rPr>
        <w:t>Рыхтикова</w:t>
      </w:r>
      <w:proofErr w:type="spellEnd"/>
      <w:r w:rsidRPr="001D2EF1">
        <w:rPr>
          <w:rFonts w:ascii="Times New Roman" w:eastAsia="Calibri" w:hAnsi="Times New Roman" w:cs="Times New Roman"/>
          <w:color w:val="000000"/>
          <w:kern w:val="2"/>
          <w:sz w:val="28"/>
          <w:szCs w:val="28"/>
        </w:rPr>
        <w:t xml:space="preserve"> выделяет три критерия классификации финансовых рисков [10]. Наглядно </w:t>
      </w:r>
      <w:proofErr w:type="gramStart"/>
      <w:r w:rsidRPr="001D2EF1">
        <w:rPr>
          <w:rFonts w:ascii="Times New Roman" w:eastAsia="Calibri" w:hAnsi="Times New Roman" w:cs="Times New Roman"/>
          <w:color w:val="000000"/>
          <w:kern w:val="2"/>
          <w:sz w:val="28"/>
          <w:szCs w:val="28"/>
        </w:rPr>
        <w:t>представлены</w:t>
      </w:r>
      <w:proofErr w:type="gramEnd"/>
      <w:r w:rsidRPr="001D2EF1">
        <w:rPr>
          <w:rFonts w:ascii="Times New Roman" w:eastAsia="Calibri" w:hAnsi="Times New Roman" w:cs="Times New Roman"/>
          <w:color w:val="000000"/>
          <w:kern w:val="2"/>
          <w:sz w:val="28"/>
          <w:szCs w:val="28"/>
        </w:rPr>
        <w:t xml:space="preserve"> на рисунке 1. В свою очередь, к рискам, связанным с покупательной способностью денежных средств, относятся: валютные риски, риски ликвидности и пр. </w:t>
      </w:r>
      <w:proofErr w:type="gramStart"/>
      <w:r w:rsidRPr="001D2EF1">
        <w:rPr>
          <w:rFonts w:ascii="Times New Roman" w:eastAsia="Calibri" w:hAnsi="Times New Roman" w:cs="Times New Roman"/>
          <w:color w:val="000000"/>
          <w:kern w:val="2"/>
          <w:sz w:val="28"/>
          <w:szCs w:val="28"/>
        </w:rPr>
        <w:t xml:space="preserve">Риски, связанные с вложением капитала, подразделяются на: инвестиционные (риск реального или инновационного инвестирования и др.), риск снижения доходности (кредитный, процентный). </w:t>
      </w:r>
      <w:proofErr w:type="gramEnd"/>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И наконец, согласно последнему критерию классификации – финансовые риски делятся на риски коммерческого кредита и оборотные риски.</w:t>
      </w:r>
    </w:p>
    <w:p w:rsidR="009B4041" w:rsidRPr="001D2EF1" w:rsidRDefault="009B4041" w:rsidP="009B4041">
      <w:pPr>
        <w:spacing w:after="0" w:line="240" w:lineRule="auto"/>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noProof/>
          <w:color w:val="000000"/>
          <w:kern w:val="2"/>
          <w:sz w:val="28"/>
          <w:szCs w:val="28"/>
          <w:lang w:eastAsia="ru-RU"/>
        </w:rPr>
        <w:drawing>
          <wp:inline distT="0" distB="0" distL="0" distR="0" wp14:anchorId="229C4430" wp14:editId="5FF0AA4C">
            <wp:extent cx="6096000" cy="2276475"/>
            <wp:effectExtent l="0" t="0" r="76200" b="0"/>
            <wp:docPr id="20"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9B4041" w:rsidRPr="001D2EF1" w:rsidRDefault="009B4041" w:rsidP="009B4041">
      <w:pPr>
        <w:spacing w:after="0" w:line="240" w:lineRule="auto"/>
        <w:jc w:val="center"/>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Рисунок 1. Критерии классификации финансовых рисков согласно подходу Н.А. </w:t>
      </w:r>
      <w:proofErr w:type="spellStart"/>
      <w:r w:rsidRPr="001D2EF1">
        <w:rPr>
          <w:rFonts w:ascii="Times New Roman" w:eastAsia="Calibri" w:hAnsi="Times New Roman" w:cs="Times New Roman"/>
          <w:color w:val="000000"/>
          <w:kern w:val="2"/>
          <w:sz w:val="28"/>
          <w:szCs w:val="28"/>
        </w:rPr>
        <w:t>Рыхтинова</w:t>
      </w:r>
      <w:proofErr w:type="spellEnd"/>
    </w:p>
    <w:p w:rsidR="009B4041" w:rsidRPr="001D2EF1" w:rsidRDefault="009B4041" w:rsidP="009B4041">
      <w:pPr>
        <w:spacing w:after="0" w:line="240" w:lineRule="auto"/>
        <w:rPr>
          <w:rFonts w:ascii="Times New Roman" w:eastAsia="Calibri" w:hAnsi="Times New Roman" w:cs="Times New Roman"/>
          <w:color w:val="000000"/>
          <w:kern w:val="2"/>
          <w:sz w:val="28"/>
          <w:szCs w:val="28"/>
        </w:rPr>
      </w:pPr>
    </w:p>
    <w:p w:rsidR="009B4041" w:rsidRPr="001D2EF1" w:rsidRDefault="009B4041" w:rsidP="009B4041">
      <w:pPr>
        <w:spacing w:after="0" w:line="360" w:lineRule="auto"/>
        <w:ind w:firstLine="567"/>
        <w:jc w:val="both"/>
        <w:rPr>
          <w:rFonts w:ascii="Times New Roman" w:eastAsia="Calibri" w:hAnsi="Times New Roman" w:cs="Times New Roman"/>
          <w:kern w:val="2"/>
          <w:sz w:val="28"/>
          <w:szCs w:val="28"/>
        </w:rPr>
      </w:pPr>
      <w:r w:rsidRPr="001D2EF1">
        <w:rPr>
          <w:rFonts w:ascii="Times New Roman" w:eastAsia="Calibri" w:hAnsi="Times New Roman" w:cs="Times New Roman"/>
          <w:color w:val="000000"/>
          <w:kern w:val="2"/>
          <w:sz w:val="28"/>
          <w:szCs w:val="28"/>
        </w:rPr>
        <w:t xml:space="preserve">Относительно данной классификации с Н.А. </w:t>
      </w:r>
      <w:proofErr w:type="spellStart"/>
      <w:r w:rsidRPr="001D2EF1">
        <w:rPr>
          <w:rFonts w:ascii="Times New Roman" w:eastAsia="Calibri" w:hAnsi="Times New Roman" w:cs="Times New Roman"/>
          <w:color w:val="000000"/>
          <w:kern w:val="2"/>
          <w:sz w:val="28"/>
          <w:szCs w:val="28"/>
        </w:rPr>
        <w:t>Рыхтиковой</w:t>
      </w:r>
      <w:proofErr w:type="spellEnd"/>
      <w:r w:rsidRPr="001D2EF1">
        <w:rPr>
          <w:rFonts w:ascii="Times New Roman" w:eastAsia="Calibri" w:hAnsi="Times New Roman" w:cs="Times New Roman"/>
          <w:color w:val="000000"/>
          <w:kern w:val="2"/>
          <w:sz w:val="28"/>
          <w:szCs w:val="28"/>
        </w:rPr>
        <w:t xml:space="preserve"> солидарен А.Н. Артамонов [2]. </w:t>
      </w:r>
      <w:proofErr w:type="gramStart"/>
      <w:r w:rsidRPr="001D2EF1">
        <w:rPr>
          <w:rFonts w:ascii="Times New Roman" w:eastAsia="Calibri" w:hAnsi="Times New Roman" w:cs="Times New Roman"/>
          <w:color w:val="000000"/>
          <w:kern w:val="2"/>
          <w:sz w:val="28"/>
          <w:szCs w:val="28"/>
        </w:rPr>
        <w:t xml:space="preserve">Однако помимо вышеуказанного он выделяет еще две группы классификации, а именно такие как: финансовые риски, связанные с изменением объема </w:t>
      </w:r>
      <w:r w:rsidRPr="001D2EF1">
        <w:rPr>
          <w:rFonts w:ascii="Times New Roman" w:eastAsia="Calibri" w:hAnsi="Times New Roman" w:cs="Times New Roman"/>
          <w:kern w:val="2"/>
          <w:sz w:val="28"/>
          <w:szCs w:val="28"/>
        </w:rPr>
        <w:t xml:space="preserve">и структуры спроса на производимую предприятием продукцию; риски, связанные с привлечением заемных источников </w:t>
      </w:r>
      <w:r w:rsidRPr="001D2EF1">
        <w:rPr>
          <w:rFonts w:ascii="Times New Roman" w:eastAsia="Calibri" w:hAnsi="Times New Roman" w:cs="Times New Roman"/>
          <w:kern w:val="2"/>
          <w:sz w:val="28"/>
          <w:szCs w:val="28"/>
        </w:rPr>
        <w:lastRenderedPageBreak/>
        <w:t>финансирования.</w:t>
      </w:r>
      <w:proofErr w:type="gramEnd"/>
      <w:r w:rsidRPr="001D2EF1">
        <w:rPr>
          <w:rFonts w:ascii="Times New Roman" w:eastAsia="Calibri" w:hAnsi="Times New Roman" w:cs="Times New Roman"/>
          <w:kern w:val="2"/>
          <w:sz w:val="28"/>
          <w:szCs w:val="28"/>
        </w:rPr>
        <w:t xml:space="preserve"> Думается, в выделении данных групп особой необходимости нет, поскольку эти критерии можно отнести к рискам, связанным с формой организации, обозначенной как раз таки Н.А. </w:t>
      </w:r>
      <w:proofErr w:type="spellStart"/>
      <w:r w:rsidRPr="001D2EF1">
        <w:rPr>
          <w:rFonts w:ascii="Times New Roman" w:eastAsia="Calibri" w:hAnsi="Times New Roman" w:cs="Times New Roman"/>
          <w:kern w:val="2"/>
          <w:sz w:val="28"/>
          <w:szCs w:val="28"/>
        </w:rPr>
        <w:t>Рыхтиковой</w:t>
      </w:r>
      <w:proofErr w:type="spellEnd"/>
      <w:r w:rsidRPr="001D2EF1">
        <w:rPr>
          <w:rFonts w:ascii="Times New Roman" w:eastAsia="Calibri" w:hAnsi="Times New Roman" w:cs="Times New Roman"/>
          <w:kern w:val="2"/>
          <w:sz w:val="28"/>
          <w:szCs w:val="28"/>
        </w:rPr>
        <w:t xml:space="preserve">.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Думается, что более подробно и правильно к вопросу критериев классификации финансовых рисков подошел К.В. </w:t>
      </w:r>
      <w:proofErr w:type="spellStart"/>
      <w:r w:rsidRPr="001D2EF1">
        <w:rPr>
          <w:rFonts w:ascii="Times New Roman" w:eastAsia="Calibri" w:hAnsi="Times New Roman" w:cs="Times New Roman"/>
          <w:color w:val="000000"/>
          <w:kern w:val="2"/>
          <w:sz w:val="28"/>
          <w:szCs w:val="28"/>
        </w:rPr>
        <w:t>Зоров</w:t>
      </w:r>
      <w:proofErr w:type="spellEnd"/>
      <w:r w:rsidRPr="001D2EF1">
        <w:rPr>
          <w:rFonts w:ascii="Times New Roman" w:eastAsia="Calibri" w:hAnsi="Times New Roman" w:cs="Times New Roman"/>
          <w:color w:val="000000"/>
          <w:kern w:val="2"/>
          <w:sz w:val="28"/>
          <w:szCs w:val="28"/>
        </w:rPr>
        <w:t xml:space="preserve"> [6]. Наглядно представлено на рисунке 2. </w:t>
      </w:r>
    </w:p>
    <w:p w:rsidR="009B4041" w:rsidRPr="001D2EF1" w:rsidRDefault="009B4041" w:rsidP="009B4041">
      <w:pPr>
        <w:spacing w:after="0" w:line="240" w:lineRule="auto"/>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noProof/>
          <w:color w:val="000000"/>
          <w:kern w:val="2"/>
          <w:sz w:val="28"/>
          <w:szCs w:val="28"/>
          <w:lang w:eastAsia="ru-RU"/>
        </w:rPr>
        <w:drawing>
          <wp:inline distT="0" distB="0" distL="0" distR="0" wp14:anchorId="2EC1FCAD" wp14:editId="6307553C">
            <wp:extent cx="6137275" cy="4533900"/>
            <wp:effectExtent l="0" t="0" r="0" b="19050"/>
            <wp:docPr id="21"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9B4041" w:rsidRPr="001D2EF1" w:rsidRDefault="009B4041" w:rsidP="009B4041">
      <w:pPr>
        <w:spacing w:after="0" w:line="240" w:lineRule="auto"/>
        <w:jc w:val="center"/>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Рисунок 2. Критерии классификации финансовых рисков согласно подходу К.В. </w:t>
      </w:r>
      <w:proofErr w:type="spellStart"/>
      <w:r w:rsidRPr="001D2EF1">
        <w:rPr>
          <w:rFonts w:ascii="Times New Roman" w:eastAsia="Calibri" w:hAnsi="Times New Roman" w:cs="Times New Roman"/>
          <w:color w:val="000000"/>
          <w:kern w:val="2"/>
          <w:sz w:val="28"/>
          <w:szCs w:val="28"/>
        </w:rPr>
        <w:t>Зорова</w:t>
      </w:r>
      <w:proofErr w:type="spellEnd"/>
    </w:p>
    <w:p w:rsidR="009B4041" w:rsidRPr="001D2EF1" w:rsidRDefault="009B4041" w:rsidP="009B4041">
      <w:pPr>
        <w:spacing w:after="0" w:line="240" w:lineRule="auto"/>
        <w:ind w:firstLine="567"/>
        <w:jc w:val="both"/>
        <w:rPr>
          <w:rFonts w:ascii="Times New Roman" w:eastAsia="Calibri" w:hAnsi="Times New Roman" w:cs="Times New Roman"/>
          <w:color w:val="000000"/>
          <w:kern w:val="2"/>
          <w:sz w:val="28"/>
          <w:szCs w:val="28"/>
        </w:rPr>
      </w:pP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Кроме того, К.В. </w:t>
      </w:r>
      <w:proofErr w:type="spellStart"/>
      <w:r w:rsidRPr="001D2EF1">
        <w:rPr>
          <w:rFonts w:ascii="Times New Roman" w:eastAsia="Calibri" w:hAnsi="Times New Roman" w:cs="Times New Roman"/>
          <w:color w:val="000000"/>
          <w:kern w:val="2"/>
          <w:sz w:val="28"/>
          <w:szCs w:val="28"/>
        </w:rPr>
        <w:t>Зоров</w:t>
      </w:r>
      <w:proofErr w:type="spellEnd"/>
      <w:r w:rsidRPr="001D2EF1">
        <w:rPr>
          <w:rFonts w:ascii="Times New Roman" w:eastAsia="Calibri" w:hAnsi="Times New Roman" w:cs="Times New Roman"/>
          <w:color w:val="000000"/>
          <w:kern w:val="2"/>
          <w:sz w:val="28"/>
          <w:szCs w:val="28"/>
        </w:rPr>
        <w:t xml:space="preserve"> выделяет такой классификационный признак как факт возникновения финансового риска и подразделяет его </w:t>
      </w:r>
      <w:proofErr w:type="gramStart"/>
      <w:r w:rsidRPr="001D2EF1">
        <w:rPr>
          <w:rFonts w:ascii="Times New Roman" w:eastAsia="Calibri" w:hAnsi="Times New Roman" w:cs="Times New Roman"/>
          <w:color w:val="000000"/>
          <w:kern w:val="2"/>
          <w:sz w:val="28"/>
          <w:szCs w:val="28"/>
        </w:rPr>
        <w:t>на</w:t>
      </w:r>
      <w:proofErr w:type="gramEnd"/>
      <w:r w:rsidRPr="001D2EF1">
        <w:rPr>
          <w:rFonts w:ascii="Times New Roman" w:eastAsia="Calibri" w:hAnsi="Times New Roman" w:cs="Times New Roman"/>
          <w:color w:val="000000"/>
          <w:kern w:val="2"/>
          <w:sz w:val="28"/>
          <w:szCs w:val="28"/>
        </w:rPr>
        <w:t xml:space="preserve"> внешний и внутренний. С данным мнением нельзя не </w:t>
      </w:r>
      <w:proofErr w:type="gramStart"/>
      <w:r w:rsidRPr="001D2EF1">
        <w:rPr>
          <w:rFonts w:ascii="Times New Roman" w:eastAsia="Calibri" w:hAnsi="Times New Roman" w:cs="Times New Roman"/>
          <w:color w:val="000000"/>
          <w:kern w:val="2"/>
          <w:sz w:val="28"/>
          <w:szCs w:val="28"/>
        </w:rPr>
        <w:t>согласится</w:t>
      </w:r>
      <w:proofErr w:type="gramEnd"/>
      <w:r w:rsidRPr="001D2EF1">
        <w:rPr>
          <w:rFonts w:ascii="Times New Roman" w:eastAsia="Calibri" w:hAnsi="Times New Roman" w:cs="Times New Roman"/>
          <w:color w:val="000000"/>
          <w:kern w:val="2"/>
          <w:sz w:val="28"/>
          <w:szCs w:val="28"/>
        </w:rPr>
        <w:t xml:space="preserve"> поскольку финансовые риски не всегда зависят от самой компании. За последние годы в России и мире произошло много событий в политической и экономической сферах, которые увеличили влияние различных финансовых рисков на множество </w:t>
      </w:r>
      <w:r w:rsidRPr="001D2EF1">
        <w:rPr>
          <w:rFonts w:ascii="Times New Roman" w:eastAsia="Calibri" w:hAnsi="Times New Roman" w:cs="Times New Roman"/>
          <w:color w:val="000000"/>
          <w:kern w:val="2"/>
          <w:sz w:val="28"/>
          <w:szCs w:val="28"/>
        </w:rPr>
        <w:lastRenderedPageBreak/>
        <w:t>коммерческих организаций. Особенно усилилось воздействие систематических рисков, которые влияют на прибыль организаций из-за различных внешних факторов.</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В настоящее время в системе управления финансовыми рисками встречается множество проблемных аспектов. </w:t>
      </w:r>
      <w:proofErr w:type="gramStart"/>
      <w:r w:rsidRPr="001D2EF1">
        <w:rPr>
          <w:rFonts w:ascii="Times New Roman" w:eastAsia="Calibri" w:hAnsi="Times New Roman" w:cs="Times New Roman"/>
          <w:color w:val="000000"/>
          <w:kern w:val="2"/>
          <w:sz w:val="28"/>
          <w:szCs w:val="28"/>
        </w:rPr>
        <w:t>В условиях обострения геополитической ситуации, усиливающих давление экономических санкций на российскую экономику к наиболее важным и часто встречающимся, по нашему мнению, относятся: нехватка высококвалифицированных кадров, способных выстроит комплексных и тщательный подход к управлению финансовыми рисками; отсутствие полноценных сведений, которые необходимы для оценки финансовых рисков;</w:t>
      </w:r>
      <w:proofErr w:type="gramEnd"/>
      <w:r w:rsidRPr="001D2EF1">
        <w:rPr>
          <w:rFonts w:ascii="Times New Roman" w:eastAsia="Calibri" w:hAnsi="Times New Roman" w:cs="Times New Roman"/>
          <w:color w:val="000000"/>
          <w:kern w:val="2"/>
          <w:sz w:val="28"/>
          <w:szCs w:val="28"/>
        </w:rPr>
        <w:t xml:space="preserve"> </w:t>
      </w:r>
      <w:proofErr w:type="gramStart"/>
      <w:r w:rsidRPr="001D2EF1">
        <w:rPr>
          <w:rFonts w:ascii="Times New Roman" w:eastAsia="Calibri" w:hAnsi="Times New Roman" w:cs="Times New Roman"/>
          <w:color w:val="000000"/>
          <w:kern w:val="2"/>
          <w:sz w:val="28"/>
          <w:szCs w:val="28"/>
        </w:rPr>
        <w:t>отсутствие определенности внешней среды, в которой функционирует экономический субъект и взаимодействует с другими структурами, что в последствии затрудняет принятие решений по исследуемому вопросу; трудности в прогнозировании финансовых рисков, поскольку это требует больших затрат и немалых усилий и др. Также соблюдение стандартов, руководящих принципов и принципов управления рисками дает преимущества фирмам, заинтересованным сторонам и надзорным органам [9].</w:t>
      </w:r>
      <w:proofErr w:type="gramEnd"/>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Заключение. Таким образом, в современных экономических условиях особую актуальность приобретают вопросы идентификации и оценки финансовых рисков.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Знания о финансовых рисках нужны для обеспечения стабильности и устойчивости предприятия в изменчивой экономической среде.</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p>
    <w:p w:rsidR="009B4041" w:rsidRPr="00A67619" w:rsidRDefault="009B4041" w:rsidP="009B4041">
      <w:pPr>
        <w:spacing w:after="0" w:line="360" w:lineRule="auto"/>
        <w:ind w:firstLine="567"/>
        <w:jc w:val="both"/>
        <w:rPr>
          <w:rFonts w:ascii="Times New Roman" w:eastAsia="Calibri" w:hAnsi="Times New Roman" w:cs="Times New Roman"/>
          <w:kern w:val="2"/>
          <w:sz w:val="28"/>
          <w:szCs w:val="28"/>
        </w:rPr>
      </w:pPr>
      <w:r w:rsidRPr="00A67619">
        <w:rPr>
          <w:rFonts w:ascii="Times New Roman" w:eastAsia="Calibri" w:hAnsi="Times New Roman" w:cs="Times New Roman"/>
          <w:kern w:val="2"/>
          <w:sz w:val="28"/>
          <w:szCs w:val="28"/>
        </w:rPr>
        <w:t>СПИСОК ЛИТЕРАТУРЫ</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bookmarkStart w:id="0" w:name="_Hlk183105727"/>
      <w:r w:rsidRPr="001D2EF1">
        <w:rPr>
          <w:rFonts w:ascii="Times New Roman" w:eastAsia="Calibri" w:hAnsi="Times New Roman" w:cs="Times New Roman"/>
          <w:color w:val="000000"/>
          <w:kern w:val="2"/>
          <w:sz w:val="28"/>
          <w:szCs w:val="28"/>
          <w:lang w:eastAsia="ru-RU"/>
        </w:rPr>
        <w:t xml:space="preserve">1. Закон РФ </w:t>
      </w:r>
      <w:r w:rsidRPr="001D2EF1">
        <w:rPr>
          <w:rFonts w:ascii="Times New Roman" w:eastAsia="Calibri" w:hAnsi="Times New Roman" w:cs="Times New Roman"/>
          <w:color w:val="000000"/>
          <w:kern w:val="2"/>
          <w:sz w:val="28"/>
          <w:szCs w:val="28"/>
        </w:rPr>
        <w:t>«</w:t>
      </w:r>
      <w:r w:rsidRPr="001D2EF1">
        <w:rPr>
          <w:rFonts w:ascii="Times New Roman" w:eastAsia="Calibri" w:hAnsi="Times New Roman" w:cs="Times New Roman"/>
          <w:color w:val="000000"/>
          <w:kern w:val="2"/>
          <w:sz w:val="28"/>
          <w:szCs w:val="28"/>
          <w:lang w:eastAsia="ru-RU"/>
        </w:rPr>
        <w:t>Об организации страхового дела в Российской Федерации</w:t>
      </w:r>
      <w:r w:rsidRPr="001D2EF1">
        <w:rPr>
          <w:rFonts w:ascii="Times New Roman" w:eastAsia="Calibri" w:hAnsi="Times New Roman" w:cs="Times New Roman"/>
          <w:color w:val="000000"/>
          <w:kern w:val="2"/>
          <w:sz w:val="28"/>
          <w:szCs w:val="28"/>
        </w:rPr>
        <w:t xml:space="preserve">» </w:t>
      </w:r>
      <w:r w:rsidRPr="001D2EF1">
        <w:rPr>
          <w:rFonts w:ascii="Times New Roman" w:eastAsia="Calibri" w:hAnsi="Times New Roman" w:cs="Times New Roman"/>
          <w:color w:val="000000"/>
          <w:kern w:val="2"/>
          <w:sz w:val="28"/>
          <w:szCs w:val="28"/>
          <w:lang w:eastAsia="ru-RU"/>
        </w:rPr>
        <w:t xml:space="preserve">от 27.11.1992 </w:t>
      </w:r>
      <w:r w:rsidRPr="001D2EF1">
        <w:rPr>
          <w:rFonts w:ascii="Times New Roman" w:eastAsia="Calibri" w:hAnsi="Times New Roman" w:cs="Times New Roman"/>
          <w:color w:val="000000"/>
          <w:kern w:val="2"/>
          <w:sz w:val="28"/>
          <w:szCs w:val="28"/>
        </w:rPr>
        <w:t>№</w:t>
      </w:r>
      <w:r w:rsidRPr="001D2EF1">
        <w:rPr>
          <w:rFonts w:ascii="Times New Roman" w:eastAsia="Calibri" w:hAnsi="Times New Roman" w:cs="Times New Roman"/>
          <w:color w:val="000000"/>
          <w:kern w:val="2"/>
          <w:sz w:val="28"/>
          <w:szCs w:val="28"/>
          <w:lang w:eastAsia="ru-RU"/>
        </w:rPr>
        <w:t xml:space="preserve"> 4015-1 </w:t>
      </w:r>
      <w:r w:rsidRPr="001D2EF1">
        <w:rPr>
          <w:rFonts w:ascii="Times New Roman" w:eastAsia="Calibri" w:hAnsi="Times New Roman" w:cs="Times New Roman"/>
          <w:color w:val="000000"/>
          <w:kern w:val="2"/>
          <w:sz w:val="28"/>
          <w:szCs w:val="28"/>
        </w:rPr>
        <w:t xml:space="preserve">// Российская газета. 1993. № 6.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2. Артамонов Н.А. Понятие, виды и факторы формирования финансовых рисков                               / Н.А. Артамонов // Дневник науки. 2019. № 4. С. 85-88.</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lastRenderedPageBreak/>
        <w:t xml:space="preserve">3. </w:t>
      </w:r>
      <w:proofErr w:type="spellStart"/>
      <w:r w:rsidRPr="001D2EF1">
        <w:rPr>
          <w:rFonts w:ascii="Times New Roman" w:eastAsia="Calibri" w:hAnsi="Times New Roman" w:cs="Times New Roman"/>
          <w:color w:val="000000"/>
          <w:kern w:val="2"/>
          <w:sz w:val="28"/>
          <w:szCs w:val="28"/>
        </w:rPr>
        <w:t>Булгатова</w:t>
      </w:r>
      <w:proofErr w:type="spellEnd"/>
      <w:r w:rsidRPr="001D2EF1">
        <w:rPr>
          <w:rFonts w:ascii="Times New Roman" w:eastAsia="Calibri" w:hAnsi="Times New Roman" w:cs="Times New Roman"/>
          <w:color w:val="000000"/>
          <w:kern w:val="2"/>
          <w:sz w:val="28"/>
          <w:szCs w:val="28"/>
        </w:rPr>
        <w:t xml:space="preserve">, Ю. С. Управление рисками с позиций стандартизации / Ю. С. </w:t>
      </w:r>
      <w:proofErr w:type="spellStart"/>
      <w:r w:rsidRPr="001D2EF1">
        <w:rPr>
          <w:rFonts w:ascii="Times New Roman" w:eastAsia="Calibri" w:hAnsi="Times New Roman" w:cs="Times New Roman"/>
          <w:color w:val="000000"/>
          <w:kern w:val="2"/>
          <w:sz w:val="28"/>
          <w:szCs w:val="28"/>
        </w:rPr>
        <w:t>Булгатова</w:t>
      </w:r>
      <w:proofErr w:type="spellEnd"/>
      <w:r w:rsidRPr="001D2EF1">
        <w:rPr>
          <w:rFonts w:ascii="Times New Roman" w:eastAsia="Calibri" w:hAnsi="Times New Roman" w:cs="Times New Roman"/>
          <w:color w:val="000000"/>
          <w:kern w:val="2"/>
          <w:sz w:val="28"/>
          <w:szCs w:val="28"/>
        </w:rPr>
        <w:t xml:space="preserve">, Д. Д. Цыренов, А. Е. Герасименко // Креативная экономика. – 2020. – Т. 14, № 11. – С. 2969-2976.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lang w:eastAsia="ru-RU"/>
        </w:rPr>
        <w:t xml:space="preserve">4. </w:t>
      </w:r>
      <w:proofErr w:type="spellStart"/>
      <w:r w:rsidRPr="001D2EF1">
        <w:rPr>
          <w:rFonts w:ascii="Times New Roman" w:eastAsia="Calibri" w:hAnsi="Times New Roman" w:cs="Times New Roman"/>
          <w:color w:val="000000"/>
          <w:kern w:val="2"/>
          <w:sz w:val="28"/>
          <w:szCs w:val="28"/>
          <w:lang w:eastAsia="ru-RU"/>
        </w:rPr>
        <w:t>Газахова</w:t>
      </w:r>
      <w:proofErr w:type="spellEnd"/>
      <w:r w:rsidRPr="001D2EF1">
        <w:rPr>
          <w:rFonts w:ascii="Times New Roman" w:eastAsia="Calibri" w:hAnsi="Times New Roman" w:cs="Times New Roman"/>
          <w:color w:val="000000"/>
          <w:kern w:val="2"/>
          <w:sz w:val="28"/>
          <w:szCs w:val="28"/>
          <w:lang w:eastAsia="ru-RU"/>
        </w:rPr>
        <w:t xml:space="preserve"> С.И.</w:t>
      </w:r>
      <w:r w:rsidRPr="001D2EF1">
        <w:rPr>
          <w:rFonts w:ascii="Times New Roman" w:eastAsia="Calibri" w:hAnsi="Times New Roman" w:cs="Times New Roman"/>
          <w:color w:val="000000"/>
          <w:kern w:val="2"/>
          <w:sz w:val="28"/>
          <w:szCs w:val="28"/>
        </w:rPr>
        <w:t xml:space="preserve"> </w:t>
      </w:r>
      <w:hyperlink r:id="rId17" w:history="1">
        <w:r w:rsidRPr="001D2EF1">
          <w:rPr>
            <w:rFonts w:ascii="Times New Roman" w:eastAsia="Calibri" w:hAnsi="Times New Roman" w:cs="Times New Roman"/>
            <w:color w:val="000000"/>
            <w:kern w:val="2"/>
            <w:sz w:val="28"/>
            <w:szCs w:val="28"/>
            <w:u w:val="single"/>
            <w:lang w:eastAsia="ru-RU"/>
          </w:rPr>
          <w:t>П</w:t>
        </w:r>
        <w:r w:rsidRPr="001D2EF1">
          <w:rPr>
            <w:rFonts w:ascii="Times New Roman" w:eastAsia="Calibri" w:hAnsi="Times New Roman" w:cs="Times New Roman"/>
            <w:color w:val="000000"/>
            <w:kern w:val="2"/>
            <w:sz w:val="28"/>
            <w:szCs w:val="28"/>
            <w:u w:val="single"/>
          </w:rPr>
          <w:t>онятие и сущность финансового риска</w:t>
        </w:r>
      </w:hyperlink>
      <w:r w:rsidRPr="001D2EF1">
        <w:rPr>
          <w:rFonts w:ascii="Times New Roman" w:eastAsia="Calibri" w:hAnsi="Times New Roman" w:cs="Times New Roman"/>
          <w:color w:val="000000"/>
          <w:kern w:val="2"/>
          <w:sz w:val="28"/>
          <w:szCs w:val="28"/>
        </w:rPr>
        <w:t xml:space="preserve"> / С.И. </w:t>
      </w:r>
      <w:proofErr w:type="spellStart"/>
      <w:r w:rsidRPr="001D2EF1">
        <w:rPr>
          <w:rFonts w:ascii="Times New Roman" w:eastAsia="Calibri" w:hAnsi="Times New Roman" w:cs="Times New Roman"/>
          <w:color w:val="000000"/>
          <w:kern w:val="2"/>
          <w:sz w:val="28"/>
          <w:szCs w:val="28"/>
        </w:rPr>
        <w:t>Газахова</w:t>
      </w:r>
      <w:proofErr w:type="spellEnd"/>
      <w:r w:rsidRPr="001D2EF1">
        <w:rPr>
          <w:rFonts w:ascii="Times New Roman" w:eastAsia="Calibri" w:hAnsi="Times New Roman" w:cs="Times New Roman"/>
          <w:color w:val="000000"/>
          <w:kern w:val="2"/>
          <w:sz w:val="28"/>
          <w:szCs w:val="28"/>
        </w:rPr>
        <w:t xml:space="preserve"> // </w:t>
      </w:r>
      <w:hyperlink r:id="rId18" w:history="1">
        <w:r w:rsidRPr="001D2EF1">
          <w:rPr>
            <w:rFonts w:ascii="Times New Roman" w:eastAsia="Calibri" w:hAnsi="Times New Roman" w:cs="Times New Roman"/>
            <w:color w:val="000000"/>
            <w:kern w:val="2"/>
            <w:sz w:val="28"/>
            <w:szCs w:val="28"/>
            <w:u w:val="single"/>
            <w:lang w:eastAsia="ru-RU"/>
          </w:rPr>
          <w:t>Вестник современных исследований</w:t>
        </w:r>
      </w:hyperlink>
      <w:r w:rsidRPr="001D2EF1">
        <w:rPr>
          <w:rFonts w:ascii="Times New Roman" w:eastAsia="Calibri" w:hAnsi="Times New Roman" w:cs="Times New Roman"/>
          <w:color w:val="000000"/>
          <w:kern w:val="2"/>
          <w:sz w:val="28"/>
          <w:szCs w:val="28"/>
          <w:lang w:eastAsia="ru-RU"/>
        </w:rPr>
        <w:t>. 2019.</w:t>
      </w:r>
      <w:r w:rsidRPr="001D2EF1">
        <w:rPr>
          <w:rFonts w:ascii="Times New Roman" w:eastAsia="Calibri" w:hAnsi="Times New Roman" w:cs="Times New Roman"/>
          <w:color w:val="000000"/>
          <w:kern w:val="2"/>
          <w:sz w:val="28"/>
          <w:szCs w:val="28"/>
        </w:rPr>
        <w:t xml:space="preserve"> </w:t>
      </w:r>
      <w:hyperlink r:id="rId19" w:history="1">
        <w:r w:rsidRPr="001D2EF1">
          <w:rPr>
            <w:rFonts w:ascii="Times New Roman" w:eastAsia="Calibri" w:hAnsi="Times New Roman" w:cs="Times New Roman"/>
            <w:color w:val="000000"/>
            <w:kern w:val="2"/>
            <w:sz w:val="28"/>
            <w:szCs w:val="28"/>
            <w:u w:val="single"/>
            <w:lang w:eastAsia="ru-RU"/>
          </w:rPr>
          <w:t>№</w:t>
        </w:r>
        <w:r w:rsidRPr="001D2EF1">
          <w:rPr>
            <w:rFonts w:ascii="Times New Roman" w:eastAsia="Calibri" w:hAnsi="Times New Roman" w:cs="Times New Roman"/>
            <w:color w:val="000000"/>
            <w:kern w:val="2"/>
            <w:sz w:val="28"/>
            <w:szCs w:val="28"/>
            <w:u w:val="single"/>
          </w:rPr>
          <w:t xml:space="preserve"> </w:t>
        </w:r>
        <w:r w:rsidRPr="001D2EF1">
          <w:rPr>
            <w:rFonts w:ascii="Times New Roman" w:eastAsia="Calibri" w:hAnsi="Times New Roman" w:cs="Times New Roman"/>
            <w:color w:val="000000"/>
            <w:kern w:val="2"/>
            <w:sz w:val="28"/>
            <w:szCs w:val="28"/>
            <w:u w:val="single"/>
            <w:lang w:eastAsia="ru-RU"/>
          </w:rPr>
          <w:t>1.</w:t>
        </w:r>
        <w:r w:rsidRPr="001D2EF1">
          <w:rPr>
            <w:rFonts w:ascii="Times New Roman" w:eastAsia="Calibri" w:hAnsi="Times New Roman" w:cs="Times New Roman"/>
            <w:color w:val="000000"/>
            <w:kern w:val="2"/>
            <w:sz w:val="28"/>
            <w:szCs w:val="28"/>
            <w:u w:val="single"/>
          </w:rPr>
          <w:t xml:space="preserve">5 </w:t>
        </w:r>
        <w:r w:rsidRPr="001D2EF1">
          <w:rPr>
            <w:rFonts w:ascii="Times New Roman" w:eastAsia="Calibri" w:hAnsi="Times New Roman" w:cs="Times New Roman"/>
            <w:color w:val="000000"/>
            <w:kern w:val="2"/>
            <w:sz w:val="28"/>
            <w:szCs w:val="28"/>
            <w:u w:val="single"/>
            <w:lang w:eastAsia="ru-RU"/>
          </w:rPr>
          <w:t>(28)</w:t>
        </w:r>
      </w:hyperlink>
      <w:r w:rsidRPr="001D2EF1">
        <w:rPr>
          <w:rFonts w:ascii="Times New Roman" w:eastAsia="Calibri" w:hAnsi="Times New Roman" w:cs="Times New Roman"/>
          <w:color w:val="000000"/>
          <w:kern w:val="2"/>
          <w:sz w:val="28"/>
          <w:szCs w:val="28"/>
          <w:lang w:eastAsia="ru-RU"/>
        </w:rPr>
        <w:t>. С. 45-46.</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5. </w:t>
      </w:r>
      <w:proofErr w:type="spellStart"/>
      <w:r w:rsidRPr="001D2EF1">
        <w:rPr>
          <w:rFonts w:ascii="Times New Roman" w:eastAsia="Calibri" w:hAnsi="Times New Roman" w:cs="Times New Roman"/>
          <w:color w:val="000000"/>
          <w:kern w:val="2"/>
          <w:sz w:val="28"/>
          <w:szCs w:val="28"/>
        </w:rPr>
        <w:t>Жебрикова</w:t>
      </w:r>
      <w:proofErr w:type="spellEnd"/>
      <w:r w:rsidRPr="001D2EF1">
        <w:rPr>
          <w:rFonts w:ascii="Times New Roman" w:eastAsia="Calibri" w:hAnsi="Times New Roman" w:cs="Times New Roman"/>
          <w:color w:val="000000"/>
          <w:kern w:val="2"/>
          <w:sz w:val="28"/>
          <w:szCs w:val="28"/>
        </w:rPr>
        <w:t xml:space="preserve"> Е.А. Понятие, сущность, виды, функции финансового риска                                            / Е.А. </w:t>
      </w:r>
      <w:proofErr w:type="spellStart"/>
      <w:r w:rsidRPr="001D2EF1">
        <w:rPr>
          <w:rFonts w:ascii="Times New Roman" w:eastAsia="Calibri" w:hAnsi="Times New Roman" w:cs="Times New Roman"/>
          <w:color w:val="000000"/>
          <w:kern w:val="2"/>
          <w:sz w:val="28"/>
          <w:szCs w:val="28"/>
        </w:rPr>
        <w:t>Жебрикова</w:t>
      </w:r>
      <w:proofErr w:type="spellEnd"/>
      <w:r w:rsidRPr="001D2EF1">
        <w:rPr>
          <w:rFonts w:ascii="Times New Roman" w:eastAsia="Calibri" w:hAnsi="Times New Roman" w:cs="Times New Roman"/>
          <w:color w:val="000000"/>
          <w:kern w:val="2"/>
          <w:sz w:val="28"/>
          <w:szCs w:val="28"/>
        </w:rPr>
        <w:t xml:space="preserve"> // Вестник современных исследований. 2019. № 1. С. 134-136.</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6. </w:t>
      </w:r>
      <w:proofErr w:type="spellStart"/>
      <w:r w:rsidRPr="001D2EF1">
        <w:rPr>
          <w:rFonts w:ascii="Times New Roman" w:eastAsia="Calibri" w:hAnsi="Times New Roman" w:cs="Times New Roman"/>
          <w:color w:val="000000"/>
          <w:kern w:val="2"/>
          <w:sz w:val="28"/>
          <w:szCs w:val="28"/>
        </w:rPr>
        <w:t>Зоров</w:t>
      </w:r>
      <w:proofErr w:type="spellEnd"/>
      <w:r w:rsidRPr="001D2EF1">
        <w:rPr>
          <w:rFonts w:ascii="Times New Roman" w:eastAsia="Calibri" w:hAnsi="Times New Roman" w:cs="Times New Roman"/>
          <w:color w:val="000000"/>
          <w:kern w:val="2"/>
          <w:sz w:val="28"/>
          <w:szCs w:val="28"/>
        </w:rPr>
        <w:t xml:space="preserve"> К.В. Классификация финансовых рисков и информации для целей управления финансами предприятия / К.В. </w:t>
      </w:r>
      <w:proofErr w:type="spellStart"/>
      <w:r w:rsidRPr="001D2EF1">
        <w:rPr>
          <w:rFonts w:ascii="Times New Roman" w:eastAsia="Calibri" w:hAnsi="Times New Roman" w:cs="Times New Roman"/>
          <w:color w:val="000000"/>
          <w:kern w:val="2"/>
          <w:sz w:val="28"/>
          <w:szCs w:val="28"/>
        </w:rPr>
        <w:t>Зоров</w:t>
      </w:r>
      <w:proofErr w:type="spellEnd"/>
      <w:r w:rsidRPr="001D2EF1">
        <w:rPr>
          <w:rFonts w:ascii="Times New Roman" w:eastAsia="Calibri" w:hAnsi="Times New Roman" w:cs="Times New Roman"/>
          <w:color w:val="000000"/>
          <w:kern w:val="2"/>
          <w:sz w:val="28"/>
          <w:szCs w:val="28"/>
        </w:rPr>
        <w:t xml:space="preserve"> // Молодой ученый. 2014. № 18. С. 366-370.</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7. </w:t>
      </w:r>
      <w:proofErr w:type="spellStart"/>
      <w:r w:rsidRPr="001D2EF1">
        <w:rPr>
          <w:rFonts w:ascii="Times New Roman" w:eastAsia="Calibri" w:hAnsi="Times New Roman" w:cs="Times New Roman"/>
          <w:color w:val="000000"/>
          <w:kern w:val="2"/>
          <w:sz w:val="28"/>
          <w:szCs w:val="28"/>
        </w:rPr>
        <w:t>Кувшинкина</w:t>
      </w:r>
      <w:proofErr w:type="spellEnd"/>
      <w:r w:rsidRPr="001D2EF1">
        <w:rPr>
          <w:rFonts w:ascii="Times New Roman" w:eastAsia="Calibri" w:hAnsi="Times New Roman" w:cs="Times New Roman"/>
          <w:color w:val="000000"/>
          <w:kern w:val="2"/>
          <w:sz w:val="28"/>
          <w:szCs w:val="28"/>
        </w:rPr>
        <w:t xml:space="preserve"> Е.Б. Основы управления финансовыми рисками в деятельности организации / Е.Б. </w:t>
      </w:r>
      <w:proofErr w:type="spellStart"/>
      <w:r w:rsidRPr="001D2EF1">
        <w:rPr>
          <w:rFonts w:ascii="Times New Roman" w:eastAsia="Calibri" w:hAnsi="Times New Roman" w:cs="Times New Roman"/>
          <w:color w:val="000000"/>
          <w:kern w:val="2"/>
          <w:sz w:val="28"/>
          <w:szCs w:val="28"/>
        </w:rPr>
        <w:t>Кувшинкина</w:t>
      </w:r>
      <w:proofErr w:type="spellEnd"/>
      <w:r w:rsidRPr="001D2EF1">
        <w:rPr>
          <w:rFonts w:ascii="Times New Roman" w:eastAsia="Calibri" w:hAnsi="Times New Roman" w:cs="Times New Roman"/>
          <w:color w:val="000000"/>
          <w:kern w:val="2"/>
          <w:sz w:val="28"/>
          <w:szCs w:val="28"/>
        </w:rPr>
        <w:t xml:space="preserve"> // </w:t>
      </w:r>
      <w:proofErr w:type="spellStart"/>
      <w:r w:rsidRPr="001D2EF1">
        <w:rPr>
          <w:rFonts w:ascii="Times New Roman" w:eastAsia="Calibri" w:hAnsi="Times New Roman" w:cs="Times New Roman"/>
          <w:color w:val="000000"/>
          <w:kern w:val="2"/>
          <w:sz w:val="28"/>
          <w:szCs w:val="28"/>
        </w:rPr>
        <w:t>Colloquium</w:t>
      </w:r>
      <w:proofErr w:type="spellEnd"/>
      <w:r w:rsidRPr="001D2EF1">
        <w:rPr>
          <w:rFonts w:ascii="Times New Roman" w:eastAsia="Calibri" w:hAnsi="Times New Roman" w:cs="Times New Roman"/>
          <w:color w:val="000000"/>
          <w:kern w:val="2"/>
          <w:sz w:val="28"/>
          <w:szCs w:val="28"/>
        </w:rPr>
        <w:t xml:space="preserve"> - </w:t>
      </w:r>
      <w:proofErr w:type="spellStart"/>
      <w:r w:rsidRPr="001D2EF1">
        <w:rPr>
          <w:rFonts w:ascii="Times New Roman" w:eastAsia="Calibri" w:hAnsi="Times New Roman" w:cs="Times New Roman"/>
          <w:color w:val="000000"/>
          <w:kern w:val="2"/>
          <w:sz w:val="28"/>
          <w:szCs w:val="28"/>
        </w:rPr>
        <w:t>journal</w:t>
      </w:r>
      <w:proofErr w:type="spellEnd"/>
      <w:r w:rsidRPr="001D2EF1">
        <w:rPr>
          <w:rFonts w:ascii="Times New Roman" w:eastAsia="Calibri" w:hAnsi="Times New Roman" w:cs="Times New Roman"/>
          <w:color w:val="000000"/>
          <w:kern w:val="2"/>
          <w:sz w:val="28"/>
          <w:szCs w:val="28"/>
        </w:rPr>
        <w:t>. 2020. № 1 - 7 (53). С. 10-12.</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lang w:eastAsia="ru-RU"/>
        </w:rPr>
      </w:pPr>
      <w:r w:rsidRPr="001D2EF1">
        <w:rPr>
          <w:rFonts w:ascii="Times New Roman" w:eastAsia="Calibri" w:hAnsi="Times New Roman" w:cs="Times New Roman"/>
          <w:color w:val="000000"/>
          <w:kern w:val="2"/>
          <w:sz w:val="28"/>
          <w:szCs w:val="28"/>
        </w:rPr>
        <w:t xml:space="preserve">8. Оганян А.С. Финансовые риски компании: понятие и виды / А.С. Оганян // </w:t>
      </w:r>
      <w:hyperlink r:id="rId20" w:history="1">
        <w:r w:rsidRPr="001D2EF1">
          <w:rPr>
            <w:rFonts w:ascii="Times New Roman" w:eastAsia="Calibri" w:hAnsi="Times New Roman" w:cs="Times New Roman"/>
            <w:color w:val="000000"/>
            <w:kern w:val="2"/>
            <w:sz w:val="28"/>
            <w:szCs w:val="28"/>
            <w:u w:val="single"/>
            <w:lang w:eastAsia="ru-RU"/>
          </w:rPr>
          <w:t>Теория и практика современной науки</w:t>
        </w:r>
      </w:hyperlink>
      <w:r w:rsidRPr="001D2EF1">
        <w:rPr>
          <w:rFonts w:ascii="Times New Roman" w:eastAsia="Calibri" w:hAnsi="Times New Roman" w:cs="Times New Roman"/>
          <w:color w:val="000000"/>
          <w:kern w:val="2"/>
          <w:sz w:val="28"/>
          <w:szCs w:val="28"/>
          <w:lang w:eastAsia="ru-RU"/>
        </w:rPr>
        <w:t>. 2020.</w:t>
      </w:r>
      <w:r w:rsidRPr="001D2EF1">
        <w:rPr>
          <w:rFonts w:ascii="Times New Roman" w:eastAsia="Calibri" w:hAnsi="Times New Roman" w:cs="Times New Roman"/>
          <w:color w:val="000000"/>
          <w:kern w:val="2"/>
          <w:sz w:val="28"/>
          <w:szCs w:val="28"/>
        </w:rPr>
        <w:t xml:space="preserve"> </w:t>
      </w:r>
      <w:hyperlink r:id="rId21" w:history="1">
        <w:r w:rsidRPr="001D2EF1">
          <w:rPr>
            <w:rFonts w:ascii="Times New Roman" w:eastAsia="Calibri" w:hAnsi="Times New Roman" w:cs="Times New Roman"/>
            <w:color w:val="000000"/>
            <w:kern w:val="2"/>
            <w:sz w:val="28"/>
            <w:szCs w:val="28"/>
            <w:u w:val="single"/>
            <w:lang w:eastAsia="ru-RU"/>
          </w:rPr>
          <w:t>№</w:t>
        </w:r>
        <w:r w:rsidRPr="001D2EF1">
          <w:rPr>
            <w:rFonts w:ascii="Times New Roman" w:eastAsia="Calibri" w:hAnsi="Times New Roman" w:cs="Times New Roman"/>
            <w:color w:val="000000"/>
            <w:kern w:val="2"/>
            <w:sz w:val="28"/>
            <w:szCs w:val="28"/>
            <w:u w:val="single"/>
          </w:rPr>
          <w:t xml:space="preserve"> </w:t>
        </w:r>
        <w:r w:rsidRPr="001D2EF1">
          <w:rPr>
            <w:rFonts w:ascii="Times New Roman" w:eastAsia="Calibri" w:hAnsi="Times New Roman" w:cs="Times New Roman"/>
            <w:color w:val="000000"/>
            <w:kern w:val="2"/>
            <w:sz w:val="28"/>
            <w:szCs w:val="28"/>
            <w:u w:val="single"/>
            <w:lang w:eastAsia="ru-RU"/>
          </w:rPr>
          <w:t>7</w:t>
        </w:r>
        <w:r w:rsidRPr="001D2EF1">
          <w:rPr>
            <w:rFonts w:ascii="Times New Roman" w:eastAsia="Calibri" w:hAnsi="Times New Roman" w:cs="Times New Roman"/>
            <w:color w:val="000000"/>
            <w:kern w:val="2"/>
            <w:sz w:val="28"/>
            <w:szCs w:val="28"/>
            <w:u w:val="single"/>
          </w:rPr>
          <w:t xml:space="preserve"> </w:t>
        </w:r>
        <w:r w:rsidRPr="001D2EF1">
          <w:rPr>
            <w:rFonts w:ascii="Times New Roman" w:eastAsia="Calibri" w:hAnsi="Times New Roman" w:cs="Times New Roman"/>
            <w:color w:val="000000"/>
            <w:kern w:val="2"/>
            <w:sz w:val="28"/>
            <w:szCs w:val="28"/>
            <w:u w:val="single"/>
            <w:lang w:eastAsia="ru-RU"/>
          </w:rPr>
          <w:t>(61)</w:t>
        </w:r>
      </w:hyperlink>
      <w:r w:rsidRPr="001D2EF1">
        <w:rPr>
          <w:rFonts w:ascii="Times New Roman" w:eastAsia="Calibri" w:hAnsi="Times New Roman" w:cs="Times New Roman"/>
          <w:color w:val="000000"/>
          <w:kern w:val="2"/>
          <w:sz w:val="28"/>
          <w:szCs w:val="28"/>
          <w:lang w:eastAsia="ru-RU"/>
        </w:rPr>
        <w:t>. С. 153-156.</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lang w:eastAsia="ru-RU"/>
        </w:rPr>
      </w:pPr>
      <w:r w:rsidRPr="001D2EF1">
        <w:rPr>
          <w:rFonts w:ascii="Times New Roman" w:eastAsia="Calibri" w:hAnsi="Times New Roman" w:cs="Times New Roman"/>
          <w:color w:val="000000"/>
          <w:kern w:val="2"/>
          <w:sz w:val="28"/>
          <w:szCs w:val="28"/>
          <w:lang w:eastAsia="ru-RU"/>
        </w:rPr>
        <w:t xml:space="preserve">9. Рыжаков, А. А. Современные подходы к управлению рисками / А. А. Рыжаков, Д. Д. Цыренов // Вектор экономики. – 2020. – № 12(54). – С. 47.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rPr>
      </w:pPr>
      <w:r w:rsidRPr="001D2EF1">
        <w:rPr>
          <w:rFonts w:ascii="Times New Roman" w:eastAsia="Calibri" w:hAnsi="Times New Roman" w:cs="Times New Roman"/>
          <w:color w:val="000000"/>
          <w:kern w:val="2"/>
          <w:sz w:val="28"/>
          <w:szCs w:val="28"/>
        </w:rPr>
        <w:t xml:space="preserve">10. </w:t>
      </w:r>
      <w:proofErr w:type="spellStart"/>
      <w:r w:rsidRPr="001D2EF1">
        <w:rPr>
          <w:rFonts w:ascii="Times New Roman" w:eastAsia="Calibri" w:hAnsi="Times New Roman" w:cs="Times New Roman"/>
          <w:color w:val="000000"/>
          <w:kern w:val="2"/>
          <w:sz w:val="28"/>
          <w:szCs w:val="28"/>
        </w:rPr>
        <w:t>Рыхтикова</w:t>
      </w:r>
      <w:proofErr w:type="spellEnd"/>
      <w:r w:rsidRPr="001D2EF1">
        <w:rPr>
          <w:rFonts w:ascii="Times New Roman" w:eastAsia="Calibri" w:hAnsi="Times New Roman" w:cs="Times New Roman"/>
          <w:color w:val="000000"/>
          <w:kern w:val="2"/>
          <w:sz w:val="28"/>
          <w:szCs w:val="28"/>
        </w:rPr>
        <w:t xml:space="preserve"> Н.А. Анализ и управление рисками организации: учеб</w:t>
      </w:r>
      <w:proofErr w:type="gramStart"/>
      <w:r w:rsidRPr="001D2EF1">
        <w:rPr>
          <w:rFonts w:ascii="Times New Roman" w:eastAsia="Calibri" w:hAnsi="Times New Roman" w:cs="Times New Roman"/>
          <w:color w:val="000000"/>
          <w:kern w:val="2"/>
          <w:sz w:val="28"/>
          <w:szCs w:val="28"/>
        </w:rPr>
        <w:t>.</w:t>
      </w:r>
      <w:proofErr w:type="gramEnd"/>
      <w:r w:rsidRPr="001D2EF1">
        <w:rPr>
          <w:rFonts w:ascii="Times New Roman" w:eastAsia="Calibri" w:hAnsi="Times New Roman" w:cs="Times New Roman"/>
          <w:color w:val="000000"/>
          <w:kern w:val="2"/>
          <w:sz w:val="28"/>
          <w:szCs w:val="28"/>
        </w:rPr>
        <w:t xml:space="preserve"> </w:t>
      </w:r>
      <w:proofErr w:type="gramStart"/>
      <w:r w:rsidRPr="001D2EF1">
        <w:rPr>
          <w:rFonts w:ascii="Times New Roman" w:eastAsia="Calibri" w:hAnsi="Times New Roman" w:cs="Times New Roman"/>
          <w:color w:val="000000"/>
          <w:kern w:val="2"/>
          <w:sz w:val="28"/>
          <w:szCs w:val="28"/>
        </w:rPr>
        <w:t>п</w:t>
      </w:r>
      <w:proofErr w:type="gramEnd"/>
      <w:r w:rsidRPr="001D2EF1">
        <w:rPr>
          <w:rFonts w:ascii="Times New Roman" w:eastAsia="Calibri" w:hAnsi="Times New Roman" w:cs="Times New Roman"/>
          <w:color w:val="000000"/>
          <w:kern w:val="2"/>
          <w:sz w:val="28"/>
          <w:szCs w:val="28"/>
        </w:rPr>
        <w:t xml:space="preserve">особие                                      / Н.А. </w:t>
      </w:r>
      <w:proofErr w:type="spellStart"/>
      <w:r w:rsidRPr="001D2EF1">
        <w:rPr>
          <w:rFonts w:ascii="Times New Roman" w:eastAsia="Calibri" w:hAnsi="Times New Roman" w:cs="Times New Roman"/>
          <w:color w:val="000000"/>
          <w:kern w:val="2"/>
          <w:sz w:val="28"/>
          <w:szCs w:val="28"/>
        </w:rPr>
        <w:t>Рыхтикова</w:t>
      </w:r>
      <w:proofErr w:type="spellEnd"/>
      <w:r w:rsidRPr="001D2EF1">
        <w:rPr>
          <w:rFonts w:ascii="Times New Roman" w:eastAsia="Calibri" w:hAnsi="Times New Roman" w:cs="Times New Roman"/>
          <w:color w:val="000000"/>
          <w:kern w:val="2"/>
          <w:sz w:val="28"/>
          <w:szCs w:val="28"/>
        </w:rPr>
        <w:t xml:space="preserve">. – М.: Изд-во «ИНФРА-М», 2007. – 350 с. </w:t>
      </w:r>
    </w:p>
    <w:p w:rsidR="009B4041" w:rsidRPr="001D2EF1" w:rsidRDefault="009B4041" w:rsidP="009B4041">
      <w:pPr>
        <w:spacing w:after="0" w:line="360" w:lineRule="auto"/>
        <w:ind w:firstLine="567"/>
        <w:jc w:val="both"/>
        <w:rPr>
          <w:rFonts w:ascii="Times New Roman" w:eastAsia="Calibri" w:hAnsi="Times New Roman" w:cs="Times New Roman"/>
          <w:color w:val="000000"/>
          <w:kern w:val="2"/>
          <w:sz w:val="28"/>
          <w:szCs w:val="28"/>
          <w:lang w:val="en-US"/>
        </w:rPr>
      </w:pPr>
      <w:r w:rsidRPr="001D2EF1">
        <w:rPr>
          <w:rFonts w:ascii="Times New Roman" w:eastAsia="Calibri" w:hAnsi="Times New Roman" w:cs="Times New Roman"/>
          <w:color w:val="000000"/>
          <w:kern w:val="2"/>
          <w:sz w:val="28"/>
          <w:szCs w:val="28"/>
        </w:rPr>
        <w:t xml:space="preserve">11. Федоров А.В. К вопросу о понятии и классификации финансовых рисков / А.В. Федоров // Инновационная экономика: перспективы развития и совершенствования. </w:t>
      </w:r>
      <w:r w:rsidRPr="001D2EF1">
        <w:rPr>
          <w:rFonts w:ascii="Times New Roman" w:eastAsia="Calibri" w:hAnsi="Times New Roman" w:cs="Times New Roman"/>
          <w:color w:val="000000"/>
          <w:kern w:val="2"/>
          <w:sz w:val="28"/>
          <w:szCs w:val="28"/>
          <w:lang w:val="en-US"/>
        </w:rPr>
        <w:t xml:space="preserve">2020. № 8. </w:t>
      </w:r>
      <w:r w:rsidRPr="001D2EF1">
        <w:rPr>
          <w:rFonts w:ascii="Times New Roman" w:eastAsia="Calibri" w:hAnsi="Times New Roman" w:cs="Times New Roman"/>
          <w:color w:val="000000"/>
          <w:kern w:val="2"/>
          <w:sz w:val="28"/>
          <w:szCs w:val="28"/>
        </w:rPr>
        <w:t>С</w:t>
      </w:r>
      <w:r w:rsidRPr="001D2EF1">
        <w:rPr>
          <w:rFonts w:ascii="Times New Roman" w:eastAsia="Calibri" w:hAnsi="Times New Roman" w:cs="Times New Roman"/>
          <w:color w:val="000000"/>
          <w:kern w:val="2"/>
          <w:sz w:val="28"/>
          <w:szCs w:val="28"/>
          <w:lang w:val="en-US"/>
        </w:rPr>
        <w:t>. 104-110.</w:t>
      </w:r>
    </w:p>
    <w:bookmarkEnd w:id="0"/>
    <w:p w:rsidR="009B4041" w:rsidRPr="00A67619" w:rsidRDefault="009B4041" w:rsidP="009B4041">
      <w:pPr>
        <w:spacing w:after="0" w:line="360" w:lineRule="auto"/>
        <w:rPr>
          <w:rFonts w:ascii="Times New Roman" w:hAnsi="Times New Roman" w:cs="Times New Roman"/>
          <w:sz w:val="28"/>
          <w:szCs w:val="28"/>
          <w:lang w:val="en-US"/>
        </w:rPr>
      </w:pPr>
    </w:p>
    <w:p w:rsidR="002B7DED" w:rsidRDefault="002B7DED">
      <w:bookmarkStart w:id="1" w:name="_GoBack"/>
      <w:bookmarkEnd w:id="1"/>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041"/>
    <w:rsid w:val="002B7DED"/>
    <w:rsid w:val="00815231"/>
    <w:rsid w:val="009B4041"/>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0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40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40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0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40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40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hyperlink" Target="https://www.elibrary.ru/contents.asp?id=36885500" TargetMode="External"/><Relationship Id="rId3" Type="http://schemas.openxmlformats.org/officeDocument/2006/relationships/settings" Target="settings.xml"/><Relationship Id="rId21" Type="http://schemas.openxmlformats.org/officeDocument/2006/relationships/hyperlink" Target="https://www.elibrary.ru/contents.asp?id=43867901&amp;selid=43867930" TargetMode="Externa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hyperlink" Target="https://www.elibrary.ru/item.asp?id=36885514" TargetMode="External"/><Relationship Id="rId2" Type="http://schemas.microsoft.com/office/2007/relationships/stylesWithEffects" Target="stylesWithEffects.xml"/><Relationship Id="rId16" Type="http://schemas.microsoft.com/office/2007/relationships/diagramDrawing" Target="diagrams/drawing2.xml"/><Relationship Id="rId20" Type="http://schemas.openxmlformats.org/officeDocument/2006/relationships/hyperlink" Target="https://www.elibrary.ru/contents.asp?id=43867901" TargetMode="External"/><Relationship Id="rId1" Type="http://schemas.openxmlformats.org/officeDocument/2006/relationships/styles" Target="styles.xml"/><Relationship Id="rId6" Type="http://schemas.openxmlformats.org/officeDocument/2006/relationships/hyperlink" Target="mailto:dashi555@mail.ru" TargetMode="External"/><Relationship Id="rId11" Type="http://schemas.microsoft.com/office/2007/relationships/diagramDrawing" Target="diagrams/drawing1.xml"/><Relationship Id="rId5" Type="http://schemas.openxmlformats.org/officeDocument/2006/relationships/hyperlink" Target="mailto:ndnvsayana@mail.ru" TargetMode="External"/><Relationship Id="rId15" Type="http://schemas.openxmlformats.org/officeDocument/2006/relationships/diagramColors" Target="diagrams/colors2.xml"/><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hyperlink" Target="https://www.elibrary.ru/contents.asp?id=36885500&amp;selid=36885514" TargetMode="Externa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523AB72-FFD5-46F4-94F6-CAB25FE9F7D6}"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C8D977D4-6F82-47D3-89F7-87CD3AEA8052}">
      <dgm:prSet phldrT="[Текст]" custT="1"/>
      <dgm:spPr>
        <a:xfrm>
          <a:off x="1939639" y="59996"/>
          <a:ext cx="2216721" cy="89110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Критерии классификации финансовых рисков </a:t>
          </a:r>
        </a:p>
      </dgm:t>
    </dgm:pt>
    <dgm:pt modelId="{D05887B1-9D43-4A61-AA31-84C738A0DF7F}" type="parTrans" cxnId="{B7FC6394-0480-4A4D-B9D3-48911C9143B5}">
      <dgm:prSet/>
      <dgm:spPr/>
      <dgm:t>
        <a:bodyPr/>
        <a:lstStyle/>
        <a:p>
          <a:endParaRPr lang="ru-RU" sz="1200">
            <a:latin typeface="Times New Roman" panose="02020603050405020304" pitchFamily="18" charset="0"/>
            <a:cs typeface="Times New Roman" panose="02020603050405020304" pitchFamily="18" charset="0"/>
          </a:endParaRPr>
        </a:p>
      </dgm:t>
    </dgm:pt>
    <dgm:pt modelId="{A4B32BB2-E617-4275-B427-2BA5763BF82A}" type="sibTrans" cxnId="{B7FC6394-0480-4A4D-B9D3-48911C9143B5}">
      <dgm:prSet/>
      <dgm:spPr/>
      <dgm:t>
        <a:bodyPr/>
        <a:lstStyle/>
        <a:p>
          <a:endParaRPr lang="ru-RU" sz="1200">
            <a:latin typeface="Times New Roman" panose="02020603050405020304" pitchFamily="18" charset="0"/>
            <a:cs typeface="Times New Roman" panose="02020603050405020304" pitchFamily="18" charset="0"/>
          </a:endParaRPr>
        </a:p>
      </dgm:t>
    </dgm:pt>
    <dgm:pt modelId="{5051D2BF-F7DF-4244-8872-3D2DEEED80E2}">
      <dgm:prSet phldrT="[Текст]" custT="1"/>
      <dgm:spPr>
        <a:xfrm>
          <a:off x="409" y="1325370"/>
          <a:ext cx="1782216" cy="89110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покупательской способностью денег </a:t>
          </a:r>
        </a:p>
      </dgm:t>
    </dgm:pt>
    <dgm:pt modelId="{840DF1C9-166F-4484-8A7C-06E5DC8CBCAB}" type="parTrans" cxnId="{4524D977-873F-4824-B850-5DE1FA857979}">
      <dgm:prSet/>
      <dgm:spPr>
        <a:xfrm>
          <a:off x="891517" y="951104"/>
          <a:ext cx="2156482" cy="374265"/>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200">
            <a:latin typeface="Times New Roman" panose="02020603050405020304" pitchFamily="18" charset="0"/>
            <a:cs typeface="Times New Roman" panose="02020603050405020304" pitchFamily="18" charset="0"/>
          </a:endParaRPr>
        </a:p>
      </dgm:t>
    </dgm:pt>
    <dgm:pt modelId="{5D240A67-553C-44D3-B821-2774EDE23CFF}" type="sibTrans" cxnId="{4524D977-873F-4824-B850-5DE1FA857979}">
      <dgm:prSet/>
      <dgm:spPr/>
      <dgm:t>
        <a:bodyPr/>
        <a:lstStyle/>
        <a:p>
          <a:endParaRPr lang="ru-RU" sz="1200">
            <a:latin typeface="Times New Roman" panose="02020603050405020304" pitchFamily="18" charset="0"/>
            <a:cs typeface="Times New Roman" panose="02020603050405020304" pitchFamily="18" charset="0"/>
          </a:endParaRPr>
        </a:p>
      </dgm:t>
    </dgm:pt>
    <dgm:pt modelId="{E58783D1-FF7A-462F-A7FF-42A29C543431}">
      <dgm:prSet phldrT="[Текст]" custT="1"/>
      <dgm:spPr>
        <a:xfrm>
          <a:off x="2156891" y="1325370"/>
          <a:ext cx="1782216" cy="89110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вложением капитала </a:t>
          </a:r>
        </a:p>
      </dgm:t>
    </dgm:pt>
    <dgm:pt modelId="{884E95D3-783F-40A8-9391-26BBEE738D4C}" type="parTrans" cxnId="{F3BFEC94-4963-43F3-9F71-E45902159D4C}">
      <dgm:prSet/>
      <dgm:spPr>
        <a:xfrm>
          <a:off x="3002280" y="951104"/>
          <a:ext cx="91440" cy="374265"/>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200">
            <a:latin typeface="Times New Roman" panose="02020603050405020304" pitchFamily="18" charset="0"/>
            <a:cs typeface="Times New Roman" panose="02020603050405020304" pitchFamily="18" charset="0"/>
          </a:endParaRPr>
        </a:p>
      </dgm:t>
    </dgm:pt>
    <dgm:pt modelId="{B5BD2429-869A-44F6-A921-66DE327261F4}" type="sibTrans" cxnId="{F3BFEC94-4963-43F3-9F71-E45902159D4C}">
      <dgm:prSet/>
      <dgm:spPr/>
      <dgm:t>
        <a:bodyPr/>
        <a:lstStyle/>
        <a:p>
          <a:endParaRPr lang="ru-RU" sz="1200">
            <a:latin typeface="Times New Roman" panose="02020603050405020304" pitchFamily="18" charset="0"/>
            <a:cs typeface="Times New Roman" panose="02020603050405020304" pitchFamily="18" charset="0"/>
          </a:endParaRPr>
        </a:p>
      </dgm:t>
    </dgm:pt>
    <dgm:pt modelId="{55C3DD4B-FE6C-4F74-A96A-A3F03F0345A8}">
      <dgm:prSet phldrT="[Текст]" custT="1"/>
      <dgm:spPr>
        <a:xfrm>
          <a:off x="4313373" y="1325370"/>
          <a:ext cx="1782216" cy="89110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формой организации хозяйственной деятельности организации</a:t>
          </a:r>
        </a:p>
      </dgm:t>
    </dgm:pt>
    <dgm:pt modelId="{FA9F6043-B1CA-4FA7-9E57-0DA5A8B30533}" type="parTrans" cxnId="{2610D6DC-7F51-4F48-898E-0DE8D1924E00}">
      <dgm:prSet/>
      <dgm:spPr>
        <a:xfrm>
          <a:off x="3048000" y="951104"/>
          <a:ext cx="2156482" cy="374265"/>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200">
            <a:latin typeface="Times New Roman" panose="02020603050405020304" pitchFamily="18" charset="0"/>
            <a:cs typeface="Times New Roman" panose="02020603050405020304" pitchFamily="18" charset="0"/>
          </a:endParaRPr>
        </a:p>
      </dgm:t>
    </dgm:pt>
    <dgm:pt modelId="{8E79EF06-378E-408C-AFEB-390A34061F03}" type="sibTrans" cxnId="{2610D6DC-7F51-4F48-898E-0DE8D1924E00}">
      <dgm:prSet/>
      <dgm:spPr/>
      <dgm:t>
        <a:bodyPr/>
        <a:lstStyle/>
        <a:p>
          <a:endParaRPr lang="ru-RU" sz="1200">
            <a:latin typeface="Times New Roman" panose="02020603050405020304" pitchFamily="18" charset="0"/>
            <a:cs typeface="Times New Roman" panose="02020603050405020304" pitchFamily="18" charset="0"/>
          </a:endParaRPr>
        </a:p>
      </dgm:t>
    </dgm:pt>
    <dgm:pt modelId="{2B15F765-CD53-49CA-9FA8-051FD5073C61}" type="pres">
      <dgm:prSet presAssocID="{5523AB72-FFD5-46F4-94F6-CAB25FE9F7D6}" presName="hierChild1" presStyleCnt="0">
        <dgm:presLayoutVars>
          <dgm:orgChart val="1"/>
          <dgm:chPref val="1"/>
          <dgm:dir/>
          <dgm:animOne val="branch"/>
          <dgm:animLvl val="lvl"/>
          <dgm:resizeHandles/>
        </dgm:presLayoutVars>
      </dgm:prSet>
      <dgm:spPr/>
      <dgm:t>
        <a:bodyPr/>
        <a:lstStyle/>
        <a:p>
          <a:endParaRPr lang="ru-RU"/>
        </a:p>
      </dgm:t>
    </dgm:pt>
    <dgm:pt modelId="{D54B756D-A831-45EA-9EF3-264E46FE1432}" type="pres">
      <dgm:prSet presAssocID="{C8D977D4-6F82-47D3-89F7-87CD3AEA8052}" presName="hierRoot1" presStyleCnt="0">
        <dgm:presLayoutVars>
          <dgm:hierBranch val="init"/>
        </dgm:presLayoutVars>
      </dgm:prSet>
      <dgm:spPr/>
    </dgm:pt>
    <dgm:pt modelId="{318D149E-54A9-4CB8-8EF1-E28D83ECCF22}" type="pres">
      <dgm:prSet presAssocID="{C8D977D4-6F82-47D3-89F7-87CD3AEA8052}" presName="rootComposite1" presStyleCnt="0"/>
      <dgm:spPr/>
    </dgm:pt>
    <dgm:pt modelId="{5A238FEE-1536-4745-9C07-CAE10A5F28F4}" type="pres">
      <dgm:prSet presAssocID="{C8D977D4-6F82-47D3-89F7-87CD3AEA8052}" presName="rootText1" presStyleLbl="node0" presStyleIdx="0" presStyleCnt="1" custScaleX="124380">
        <dgm:presLayoutVars>
          <dgm:chPref val="3"/>
        </dgm:presLayoutVars>
      </dgm:prSet>
      <dgm:spPr>
        <a:prstGeom prst="rect">
          <a:avLst/>
        </a:prstGeom>
      </dgm:spPr>
      <dgm:t>
        <a:bodyPr/>
        <a:lstStyle/>
        <a:p>
          <a:endParaRPr lang="ru-RU"/>
        </a:p>
      </dgm:t>
    </dgm:pt>
    <dgm:pt modelId="{6E151BD3-63FD-4756-AE6C-C2519594BF27}" type="pres">
      <dgm:prSet presAssocID="{C8D977D4-6F82-47D3-89F7-87CD3AEA8052}" presName="rootConnector1" presStyleLbl="node1" presStyleIdx="0" presStyleCnt="0"/>
      <dgm:spPr/>
      <dgm:t>
        <a:bodyPr/>
        <a:lstStyle/>
        <a:p>
          <a:endParaRPr lang="ru-RU"/>
        </a:p>
      </dgm:t>
    </dgm:pt>
    <dgm:pt modelId="{22B412DA-29B0-41C4-A0E9-60FE195A3AC2}" type="pres">
      <dgm:prSet presAssocID="{C8D977D4-6F82-47D3-89F7-87CD3AEA8052}" presName="hierChild2" presStyleCnt="0"/>
      <dgm:spPr/>
    </dgm:pt>
    <dgm:pt modelId="{2FD11B1A-3919-4F60-B913-EFB0B0EDE833}" type="pres">
      <dgm:prSet presAssocID="{840DF1C9-166F-4484-8A7C-06E5DC8CBCAB}" presName="Name37" presStyleLbl="parChTrans1D2" presStyleIdx="0" presStyleCnt="3"/>
      <dgm:spPr>
        <a:custGeom>
          <a:avLst/>
          <a:gdLst/>
          <a:ahLst/>
          <a:cxnLst/>
          <a:rect l="0" t="0" r="0" b="0"/>
          <a:pathLst>
            <a:path>
              <a:moveTo>
                <a:pt x="2156482" y="0"/>
              </a:moveTo>
              <a:lnTo>
                <a:pt x="2156482" y="187132"/>
              </a:lnTo>
              <a:lnTo>
                <a:pt x="0" y="187132"/>
              </a:lnTo>
              <a:lnTo>
                <a:pt x="0" y="374265"/>
              </a:lnTo>
            </a:path>
          </a:pathLst>
        </a:custGeom>
      </dgm:spPr>
      <dgm:t>
        <a:bodyPr/>
        <a:lstStyle/>
        <a:p>
          <a:endParaRPr lang="ru-RU"/>
        </a:p>
      </dgm:t>
    </dgm:pt>
    <dgm:pt modelId="{352BD6B6-BD9B-4F87-A81E-8948300B2ECB}" type="pres">
      <dgm:prSet presAssocID="{5051D2BF-F7DF-4244-8872-3D2DEEED80E2}" presName="hierRoot2" presStyleCnt="0">
        <dgm:presLayoutVars>
          <dgm:hierBranch val="init"/>
        </dgm:presLayoutVars>
      </dgm:prSet>
      <dgm:spPr/>
    </dgm:pt>
    <dgm:pt modelId="{7E37BEB3-DDAB-4A4B-8464-A05F391361F6}" type="pres">
      <dgm:prSet presAssocID="{5051D2BF-F7DF-4244-8872-3D2DEEED80E2}" presName="rootComposite" presStyleCnt="0"/>
      <dgm:spPr/>
    </dgm:pt>
    <dgm:pt modelId="{22A28066-6A83-4539-8C1D-AA327440DD71}" type="pres">
      <dgm:prSet presAssocID="{5051D2BF-F7DF-4244-8872-3D2DEEED80E2}" presName="rootText" presStyleLbl="node2" presStyleIdx="0" presStyleCnt="3">
        <dgm:presLayoutVars>
          <dgm:chPref val="3"/>
        </dgm:presLayoutVars>
      </dgm:prSet>
      <dgm:spPr>
        <a:prstGeom prst="rect">
          <a:avLst/>
        </a:prstGeom>
      </dgm:spPr>
      <dgm:t>
        <a:bodyPr/>
        <a:lstStyle/>
        <a:p>
          <a:endParaRPr lang="ru-RU"/>
        </a:p>
      </dgm:t>
    </dgm:pt>
    <dgm:pt modelId="{6D7C0F10-37C8-4EA6-93E9-6C04D9CAD742}" type="pres">
      <dgm:prSet presAssocID="{5051D2BF-F7DF-4244-8872-3D2DEEED80E2}" presName="rootConnector" presStyleLbl="node2" presStyleIdx="0" presStyleCnt="3"/>
      <dgm:spPr/>
      <dgm:t>
        <a:bodyPr/>
        <a:lstStyle/>
        <a:p>
          <a:endParaRPr lang="ru-RU"/>
        </a:p>
      </dgm:t>
    </dgm:pt>
    <dgm:pt modelId="{0EE1ADBC-4D81-4DA7-B5AB-0F45B04178C7}" type="pres">
      <dgm:prSet presAssocID="{5051D2BF-F7DF-4244-8872-3D2DEEED80E2}" presName="hierChild4" presStyleCnt="0"/>
      <dgm:spPr/>
    </dgm:pt>
    <dgm:pt modelId="{CFCB7517-0734-4797-8988-CA20099B235C}" type="pres">
      <dgm:prSet presAssocID="{5051D2BF-F7DF-4244-8872-3D2DEEED80E2}" presName="hierChild5" presStyleCnt="0"/>
      <dgm:spPr/>
    </dgm:pt>
    <dgm:pt modelId="{339A67A2-9973-4E27-A20A-91939CABF5DC}" type="pres">
      <dgm:prSet presAssocID="{884E95D3-783F-40A8-9391-26BBEE738D4C}" presName="Name37" presStyleLbl="parChTrans1D2" presStyleIdx="1" presStyleCnt="3"/>
      <dgm:spPr>
        <a:custGeom>
          <a:avLst/>
          <a:gdLst/>
          <a:ahLst/>
          <a:cxnLst/>
          <a:rect l="0" t="0" r="0" b="0"/>
          <a:pathLst>
            <a:path>
              <a:moveTo>
                <a:pt x="45720" y="0"/>
              </a:moveTo>
              <a:lnTo>
                <a:pt x="45720" y="374265"/>
              </a:lnTo>
            </a:path>
          </a:pathLst>
        </a:custGeom>
      </dgm:spPr>
      <dgm:t>
        <a:bodyPr/>
        <a:lstStyle/>
        <a:p>
          <a:endParaRPr lang="ru-RU"/>
        </a:p>
      </dgm:t>
    </dgm:pt>
    <dgm:pt modelId="{2BAA5EFD-EC9A-48AD-A3E6-D12707C9E47C}" type="pres">
      <dgm:prSet presAssocID="{E58783D1-FF7A-462F-A7FF-42A29C543431}" presName="hierRoot2" presStyleCnt="0">
        <dgm:presLayoutVars>
          <dgm:hierBranch val="init"/>
        </dgm:presLayoutVars>
      </dgm:prSet>
      <dgm:spPr/>
    </dgm:pt>
    <dgm:pt modelId="{1346BD66-B337-4F1A-815D-8EDCD6CC7DA4}" type="pres">
      <dgm:prSet presAssocID="{E58783D1-FF7A-462F-A7FF-42A29C543431}" presName="rootComposite" presStyleCnt="0"/>
      <dgm:spPr/>
    </dgm:pt>
    <dgm:pt modelId="{D9791782-D7B0-4A43-94AA-CA2C31FC3C45}" type="pres">
      <dgm:prSet presAssocID="{E58783D1-FF7A-462F-A7FF-42A29C543431}" presName="rootText" presStyleLbl="node2" presStyleIdx="1" presStyleCnt="3">
        <dgm:presLayoutVars>
          <dgm:chPref val="3"/>
        </dgm:presLayoutVars>
      </dgm:prSet>
      <dgm:spPr>
        <a:prstGeom prst="rect">
          <a:avLst/>
        </a:prstGeom>
      </dgm:spPr>
      <dgm:t>
        <a:bodyPr/>
        <a:lstStyle/>
        <a:p>
          <a:endParaRPr lang="ru-RU"/>
        </a:p>
      </dgm:t>
    </dgm:pt>
    <dgm:pt modelId="{BCF19817-0287-42FC-95DB-5496CFBD0FE4}" type="pres">
      <dgm:prSet presAssocID="{E58783D1-FF7A-462F-A7FF-42A29C543431}" presName="rootConnector" presStyleLbl="node2" presStyleIdx="1" presStyleCnt="3"/>
      <dgm:spPr/>
      <dgm:t>
        <a:bodyPr/>
        <a:lstStyle/>
        <a:p>
          <a:endParaRPr lang="ru-RU"/>
        </a:p>
      </dgm:t>
    </dgm:pt>
    <dgm:pt modelId="{5CB769F7-47C9-4565-B442-BED3358554FA}" type="pres">
      <dgm:prSet presAssocID="{E58783D1-FF7A-462F-A7FF-42A29C543431}" presName="hierChild4" presStyleCnt="0"/>
      <dgm:spPr/>
    </dgm:pt>
    <dgm:pt modelId="{38C8B3E6-78D2-4E5F-996B-1C427DD09B14}" type="pres">
      <dgm:prSet presAssocID="{E58783D1-FF7A-462F-A7FF-42A29C543431}" presName="hierChild5" presStyleCnt="0"/>
      <dgm:spPr/>
    </dgm:pt>
    <dgm:pt modelId="{333ED9BB-C8EE-43F6-A0B4-972C67CE1807}" type="pres">
      <dgm:prSet presAssocID="{FA9F6043-B1CA-4FA7-9E57-0DA5A8B30533}" presName="Name37" presStyleLbl="parChTrans1D2" presStyleIdx="2" presStyleCnt="3"/>
      <dgm:spPr>
        <a:custGeom>
          <a:avLst/>
          <a:gdLst/>
          <a:ahLst/>
          <a:cxnLst/>
          <a:rect l="0" t="0" r="0" b="0"/>
          <a:pathLst>
            <a:path>
              <a:moveTo>
                <a:pt x="0" y="0"/>
              </a:moveTo>
              <a:lnTo>
                <a:pt x="0" y="187132"/>
              </a:lnTo>
              <a:lnTo>
                <a:pt x="2156482" y="187132"/>
              </a:lnTo>
              <a:lnTo>
                <a:pt x="2156482" y="374265"/>
              </a:lnTo>
            </a:path>
          </a:pathLst>
        </a:custGeom>
      </dgm:spPr>
      <dgm:t>
        <a:bodyPr/>
        <a:lstStyle/>
        <a:p>
          <a:endParaRPr lang="ru-RU"/>
        </a:p>
      </dgm:t>
    </dgm:pt>
    <dgm:pt modelId="{ECFA0D20-11AA-45DF-8CCD-ABA6B4A2C4C8}" type="pres">
      <dgm:prSet presAssocID="{55C3DD4B-FE6C-4F74-A96A-A3F03F0345A8}" presName="hierRoot2" presStyleCnt="0">
        <dgm:presLayoutVars>
          <dgm:hierBranch val="init"/>
        </dgm:presLayoutVars>
      </dgm:prSet>
      <dgm:spPr/>
    </dgm:pt>
    <dgm:pt modelId="{18FC6ED8-4DBB-4151-891C-6254B338C5E1}" type="pres">
      <dgm:prSet presAssocID="{55C3DD4B-FE6C-4F74-A96A-A3F03F0345A8}" presName="rootComposite" presStyleCnt="0"/>
      <dgm:spPr/>
    </dgm:pt>
    <dgm:pt modelId="{BA0478FC-AEB1-4891-A165-82B6B6409702}" type="pres">
      <dgm:prSet presAssocID="{55C3DD4B-FE6C-4F74-A96A-A3F03F0345A8}" presName="rootText" presStyleLbl="node2" presStyleIdx="2" presStyleCnt="3">
        <dgm:presLayoutVars>
          <dgm:chPref val="3"/>
        </dgm:presLayoutVars>
      </dgm:prSet>
      <dgm:spPr>
        <a:prstGeom prst="rect">
          <a:avLst/>
        </a:prstGeom>
      </dgm:spPr>
      <dgm:t>
        <a:bodyPr/>
        <a:lstStyle/>
        <a:p>
          <a:endParaRPr lang="ru-RU"/>
        </a:p>
      </dgm:t>
    </dgm:pt>
    <dgm:pt modelId="{E6441173-4702-48F3-A416-176F4EAEFBF4}" type="pres">
      <dgm:prSet presAssocID="{55C3DD4B-FE6C-4F74-A96A-A3F03F0345A8}" presName="rootConnector" presStyleLbl="node2" presStyleIdx="2" presStyleCnt="3"/>
      <dgm:spPr/>
      <dgm:t>
        <a:bodyPr/>
        <a:lstStyle/>
        <a:p>
          <a:endParaRPr lang="ru-RU"/>
        </a:p>
      </dgm:t>
    </dgm:pt>
    <dgm:pt modelId="{BD2BB85F-0AED-4832-A48F-F19301F59AB0}" type="pres">
      <dgm:prSet presAssocID="{55C3DD4B-FE6C-4F74-A96A-A3F03F0345A8}" presName="hierChild4" presStyleCnt="0"/>
      <dgm:spPr/>
    </dgm:pt>
    <dgm:pt modelId="{501CE90E-79E3-4ECA-B24A-391D948C50E7}" type="pres">
      <dgm:prSet presAssocID="{55C3DD4B-FE6C-4F74-A96A-A3F03F0345A8}" presName="hierChild5" presStyleCnt="0"/>
      <dgm:spPr/>
    </dgm:pt>
    <dgm:pt modelId="{08099536-7A76-4E9C-B9B8-E032E06CDF83}" type="pres">
      <dgm:prSet presAssocID="{C8D977D4-6F82-47D3-89F7-87CD3AEA8052}" presName="hierChild3" presStyleCnt="0"/>
      <dgm:spPr/>
    </dgm:pt>
  </dgm:ptLst>
  <dgm:cxnLst>
    <dgm:cxn modelId="{CF16CCAC-178B-4BE6-8309-E6193B83DA30}" type="presOf" srcId="{5523AB72-FFD5-46F4-94F6-CAB25FE9F7D6}" destId="{2B15F765-CD53-49CA-9FA8-051FD5073C61}" srcOrd="0" destOrd="0" presId="urn:microsoft.com/office/officeart/2005/8/layout/orgChart1"/>
    <dgm:cxn modelId="{6B6D6161-CBCD-43D0-B4B7-13FFD39D5946}" type="presOf" srcId="{C8D977D4-6F82-47D3-89F7-87CD3AEA8052}" destId="{6E151BD3-63FD-4756-AE6C-C2519594BF27}" srcOrd="1" destOrd="0" presId="urn:microsoft.com/office/officeart/2005/8/layout/orgChart1"/>
    <dgm:cxn modelId="{B7FC6394-0480-4A4D-B9D3-48911C9143B5}" srcId="{5523AB72-FFD5-46F4-94F6-CAB25FE9F7D6}" destId="{C8D977D4-6F82-47D3-89F7-87CD3AEA8052}" srcOrd="0" destOrd="0" parTransId="{D05887B1-9D43-4A61-AA31-84C738A0DF7F}" sibTransId="{A4B32BB2-E617-4275-B427-2BA5763BF82A}"/>
    <dgm:cxn modelId="{39BBAD44-F631-47F5-B92B-FD8CBD473795}" type="presOf" srcId="{5051D2BF-F7DF-4244-8872-3D2DEEED80E2}" destId="{6D7C0F10-37C8-4EA6-93E9-6C04D9CAD742}" srcOrd="1" destOrd="0" presId="urn:microsoft.com/office/officeart/2005/8/layout/orgChart1"/>
    <dgm:cxn modelId="{87912375-CBEC-400F-A35C-16E20314634C}" type="presOf" srcId="{840DF1C9-166F-4484-8A7C-06E5DC8CBCAB}" destId="{2FD11B1A-3919-4F60-B913-EFB0B0EDE833}" srcOrd="0" destOrd="0" presId="urn:microsoft.com/office/officeart/2005/8/layout/orgChart1"/>
    <dgm:cxn modelId="{D703C4CB-CC30-444F-BE93-E3600B75A258}" type="presOf" srcId="{E58783D1-FF7A-462F-A7FF-42A29C543431}" destId="{D9791782-D7B0-4A43-94AA-CA2C31FC3C45}" srcOrd="0" destOrd="0" presId="urn:microsoft.com/office/officeart/2005/8/layout/orgChart1"/>
    <dgm:cxn modelId="{76D13666-B41E-4F56-9C12-B3839B40BBD6}" type="presOf" srcId="{C8D977D4-6F82-47D3-89F7-87CD3AEA8052}" destId="{5A238FEE-1536-4745-9C07-CAE10A5F28F4}" srcOrd="0" destOrd="0" presId="urn:microsoft.com/office/officeart/2005/8/layout/orgChart1"/>
    <dgm:cxn modelId="{2610D6DC-7F51-4F48-898E-0DE8D1924E00}" srcId="{C8D977D4-6F82-47D3-89F7-87CD3AEA8052}" destId="{55C3DD4B-FE6C-4F74-A96A-A3F03F0345A8}" srcOrd="2" destOrd="0" parTransId="{FA9F6043-B1CA-4FA7-9E57-0DA5A8B30533}" sibTransId="{8E79EF06-378E-408C-AFEB-390A34061F03}"/>
    <dgm:cxn modelId="{D220ECC1-CAC5-4E0B-BBE9-1F4A16725A30}" type="presOf" srcId="{55C3DD4B-FE6C-4F74-A96A-A3F03F0345A8}" destId="{E6441173-4702-48F3-A416-176F4EAEFBF4}" srcOrd="1" destOrd="0" presId="urn:microsoft.com/office/officeart/2005/8/layout/orgChart1"/>
    <dgm:cxn modelId="{F3BFEC94-4963-43F3-9F71-E45902159D4C}" srcId="{C8D977D4-6F82-47D3-89F7-87CD3AEA8052}" destId="{E58783D1-FF7A-462F-A7FF-42A29C543431}" srcOrd="1" destOrd="0" parTransId="{884E95D3-783F-40A8-9391-26BBEE738D4C}" sibTransId="{B5BD2429-869A-44F6-A921-66DE327261F4}"/>
    <dgm:cxn modelId="{E9406835-4975-4240-851B-3E107D6C130C}" type="presOf" srcId="{E58783D1-FF7A-462F-A7FF-42A29C543431}" destId="{BCF19817-0287-42FC-95DB-5496CFBD0FE4}" srcOrd="1" destOrd="0" presId="urn:microsoft.com/office/officeart/2005/8/layout/orgChart1"/>
    <dgm:cxn modelId="{CCBAD206-CF85-4EB8-BDC1-90C94379EEEB}" type="presOf" srcId="{5051D2BF-F7DF-4244-8872-3D2DEEED80E2}" destId="{22A28066-6A83-4539-8C1D-AA327440DD71}" srcOrd="0" destOrd="0" presId="urn:microsoft.com/office/officeart/2005/8/layout/orgChart1"/>
    <dgm:cxn modelId="{E2B44923-F95F-4C7F-BD29-D8BC2996FA3F}" type="presOf" srcId="{55C3DD4B-FE6C-4F74-A96A-A3F03F0345A8}" destId="{BA0478FC-AEB1-4891-A165-82B6B6409702}" srcOrd="0" destOrd="0" presId="urn:microsoft.com/office/officeart/2005/8/layout/orgChart1"/>
    <dgm:cxn modelId="{BE6A1FAF-36AB-46DD-898A-53B54725FA01}" type="presOf" srcId="{884E95D3-783F-40A8-9391-26BBEE738D4C}" destId="{339A67A2-9973-4E27-A20A-91939CABF5DC}" srcOrd="0" destOrd="0" presId="urn:microsoft.com/office/officeart/2005/8/layout/orgChart1"/>
    <dgm:cxn modelId="{7CF74710-54A1-4A9A-85D6-8EB3F1231182}" type="presOf" srcId="{FA9F6043-B1CA-4FA7-9E57-0DA5A8B30533}" destId="{333ED9BB-C8EE-43F6-A0B4-972C67CE1807}" srcOrd="0" destOrd="0" presId="urn:microsoft.com/office/officeart/2005/8/layout/orgChart1"/>
    <dgm:cxn modelId="{4524D977-873F-4824-B850-5DE1FA857979}" srcId="{C8D977D4-6F82-47D3-89F7-87CD3AEA8052}" destId="{5051D2BF-F7DF-4244-8872-3D2DEEED80E2}" srcOrd="0" destOrd="0" parTransId="{840DF1C9-166F-4484-8A7C-06E5DC8CBCAB}" sibTransId="{5D240A67-553C-44D3-B821-2774EDE23CFF}"/>
    <dgm:cxn modelId="{E8AA2055-3B06-40B5-BE44-702F2107D3B8}" type="presParOf" srcId="{2B15F765-CD53-49CA-9FA8-051FD5073C61}" destId="{D54B756D-A831-45EA-9EF3-264E46FE1432}" srcOrd="0" destOrd="0" presId="urn:microsoft.com/office/officeart/2005/8/layout/orgChart1"/>
    <dgm:cxn modelId="{160B65A0-2BF4-468F-940B-00DC9B90A754}" type="presParOf" srcId="{D54B756D-A831-45EA-9EF3-264E46FE1432}" destId="{318D149E-54A9-4CB8-8EF1-E28D83ECCF22}" srcOrd="0" destOrd="0" presId="urn:microsoft.com/office/officeart/2005/8/layout/orgChart1"/>
    <dgm:cxn modelId="{31661D11-E49E-44D1-B3A4-5C04FF56670A}" type="presParOf" srcId="{318D149E-54A9-4CB8-8EF1-E28D83ECCF22}" destId="{5A238FEE-1536-4745-9C07-CAE10A5F28F4}" srcOrd="0" destOrd="0" presId="urn:microsoft.com/office/officeart/2005/8/layout/orgChart1"/>
    <dgm:cxn modelId="{B4B71A38-896E-4238-871C-D649285AE888}" type="presParOf" srcId="{318D149E-54A9-4CB8-8EF1-E28D83ECCF22}" destId="{6E151BD3-63FD-4756-AE6C-C2519594BF27}" srcOrd="1" destOrd="0" presId="urn:microsoft.com/office/officeart/2005/8/layout/orgChart1"/>
    <dgm:cxn modelId="{1CE172BF-B26C-40D7-81D4-6D467CA050CF}" type="presParOf" srcId="{D54B756D-A831-45EA-9EF3-264E46FE1432}" destId="{22B412DA-29B0-41C4-A0E9-60FE195A3AC2}" srcOrd="1" destOrd="0" presId="urn:microsoft.com/office/officeart/2005/8/layout/orgChart1"/>
    <dgm:cxn modelId="{028EB7EC-6F8B-425A-98AF-69CE40686092}" type="presParOf" srcId="{22B412DA-29B0-41C4-A0E9-60FE195A3AC2}" destId="{2FD11B1A-3919-4F60-B913-EFB0B0EDE833}" srcOrd="0" destOrd="0" presId="urn:microsoft.com/office/officeart/2005/8/layout/orgChart1"/>
    <dgm:cxn modelId="{2ACEDD9A-BE26-4F8E-B148-8FE27611BA46}" type="presParOf" srcId="{22B412DA-29B0-41C4-A0E9-60FE195A3AC2}" destId="{352BD6B6-BD9B-4F87-A81E-8948300B2ECB}" srcOrd="1" destOrd="0" presId="urn:microsoft.com/office/officeart/2005/8/layout/orgChart1"/>
    <dgm:cxn modelId="{45160A31-D757-46B6-93F6-E4F7ED92CEDD}" type="presParOf" srcId="{352BD6B6-BD9B-4F87-A81E-8948300B2ECB}" destId="{7E37BEB3-DDAB-4A4B-8464-A05F391361F6}" srcOrd="0" destOrd="0" presId="urn:microsoft.com/office/officeart/2005/8/layout/orgChart1"/>
    <dgm:cxn modelId="{CD7196DB-A3C0-4887-9BBB-0A730BCE6054}" type="presParOf" srcId="{7E37BEB3-DDAB-4A4B-8464-A05F391361F6}" destId="{22A28066-6A83-4539-8C1D-AA327440DD71}" srcOrd="0" destOrd="0" presId="urn:microsoft.com/office/officeart/2005/8/layout/orgChart1"/>
    <dgm:cxn modelId="{2757624B-F3A7-4E2D-8C81-FA729A434DF7}" type="presParOf" srcId="{7E37BEB3-DDAB-4A4B-8464-A05F391361F6}" destId="{6D7C0F10-37C8-4EA6-93E9-6C04D9CAD742}" srcOrd="1" destOrd="0" presId="urn:microsoft.com/office/officeart/2005/8/layout/orgChart1"/>
    <dgm:cxn modelId="{8D429C1E-657D-45D8-974D-E2EF3DF1FB85}" type="presParOf" srcId="{352BD6B6-BD9B-4F87-A81E-8948300B2ECB}" destId="{0EE1ADBC-4D81-4DA7-B5AB-0F45B04178C7}" srcOrd="1" destOrd="0" presId="urn:microsoft.com/office/officeart/2005/8/layout/orgChart1"/>
    <dgm:cxn modelId="{127DC2A2-D178-468B-ADC5-B2F49C5A72D6}" type="presParOf" srcId="{352BD6B6-BD9B-4F87-A81E-8948300B2ECB}" destId="{CFCB7517-0734-4797-8988-CA20099B235C}" srcOrd="2" destOrd="0" presId="urn:microsoft.com/office/officeart/2005/8/layout/orgChart1"/>
    <dgm:cxn modelId="{4297B974-4DE5-4C5C-8D93-846C0F73BF45}" type="presParOf" srcId="{22B412DA-29B0-41C4-A0E9-60FE195A3AC2}" destId="{339A67A2-9973-4E27-A20A-91939CABF5DC}" srcOrd="2" destOrd="0" presId="urn:microsoft.com/office/officeart/2005/8/layout/orgChart1"/>
    <dgm:cxn modelId="{A33CAAC7-3906-408E-B697-EA9F35285C15}" type="presParOf" srcId="{22B412DA-29B0-41C4-A0E9-60FE195A3AC2}" destId="{2BAA5EFD-EC9A-48AD-A3E6-D12707C9E47C}" srcOrd="3" destOrd="0" presId="urn:microsoft.com/office/officeart/2005/8/layout/orgChart1"/>
    <dgm:cxn modelId="{E1E9BA0F-1CB7-4CD8-B4AA-D32A78356ED5}" type="presParOf" srcId="{2BAA5EFD-EC9A-48AD-A3E6-D12707C9E47C}" destId="{1346BD66-B337-4F1A-815D-8EDCD6CC7DA4}" srcOrd="0" destOrd="0" presId="urn:microsoft.com/office/officeart/2005/8/layout/orgChart1"/>
    <dgm:cxn modelId="{0146EF46-5DE1-47E4-8FDD-641CBC3D01E8}" type="presParOf" srcId="{1346BD66-B337-4F1A-815D-8EDCD6CC7DA4}" destId="{D9791782-D7B0-4A43-94AA-CA2C31FC3C45}" srcOrd="0" destOrd="0" presId="urn:microsoft.com/office/officeart/2005/8/layout/orgChart1"/>
    <dgm:cxn modelId="{F569A809-AB95-40E9-B35A-6AA717B6FA02}" type="presParOf" srcId="{1346BD66-B337-4F1A-815D-8EDCD6CC7DA4}" destId="{BCF19817-0287-42FC-95DB-5496CFBD0FE4}" srcOrd="1" destOrd="0" presId="urn:microsoft.com/office/officeart/2005/8/layout/orgChart1"/>
    <dgm:cxn modelId="{788A2BA7-D6DB-421B-8C45-437654284864}" type="presParOf" srcId="{2BAA5EFD-EC9A-48AD-A3E6-D12707C9E47C}" destId="{5CB769F7-47C9-4565-B442-BED3358554FA}" srcOrd="1" destOrd="0" presId="urn:microsoft.com/office/officeart/2005/8/layout/orgChart1"/>
    <dgm:cxn modelId="{27BA0943-2789-4DC6-9DBE-034214D32CCA}" type="presParOf" srcId="{2BAA5EFD-EC9A-48AD-A3E6-D12707C9E47C}" destId="{38C8B3E6-78D2-4E5F-996B-1C427DD09B14}" srcOrd="2" destOrd="0" presId="urn:microsoft.com/office/officeart/2005/8/layout/orgChart1"/>
    <dgm:cxn modelId="{093D73DF-35FE-47F7-8E3C-6CF91880C426}" type="presParOf" srcId="{22B412DA-29B0-41C4-A0E9-60FE195A3AC2}" destId="{333ED9BB-C8EE-43F6-A0B4-972C67CE1807}" srcOrd="4" destOrd="0" presId="urn:microsoft.com/office/officeart/2005/8/layout/orgChart1"/>
    <dgm:cxn modelId="{5135DDEB-BB04-42D5-B024-0EDE87A9BB93}" type="presParOf" srcId="{22B412DA-29B0-41C4-A0E9-60FE195A3AC2}" destId="{ECFA0D20-11AA-45DF-8CCD-ABA6B4A2C4C8}" srcOrd="5" destOrd="0" presId="urn:microsoft.com/office/officeart/2005/8/layout/orgChart1"/>
    <dgm:cxn modelId="{DE95D9ED-42F4-4075-AD21-42BD5D2B7467}" type="presParOf" srcId="{ECFA0D20-11AA-45DF-8CCD-ABA6B4A2C4C8}" destId="{18FC6ED8-4DBB-4151-891C-6254B338C5E1}" srcOrd="0" destOrd="0" presId="urn:microsoft.com/office/officeart/2005/8/layout/orgChart1"/>
    <dgm:cxn modelId="{E670C562-B54A-4DAF-A04C-31D4C3892A31}" type="presParOf" srcId="{18FC6ED8-4DBB-4151-891C-6254B338C5E1}" destId="{BA0478FC-AEB1-4891-A165-82B6B6409702}" srcOrd="0" destOrd="0" presId="urn:microsoft.com/office/officeart/2005/8/layout/orgChart1"/>
    <dgm:cxn modelId="{A8BC081A-1FB7-4778-82E0-C3EF68EA8139}" type="presParOf" srcId="{18FC6ED8-4DBB-4151-891C-6254B338C5E1}" destId="{E6441173-4702-48F3-A416-176F4EAEFBF4}" srcOrd="1" destOrd="0" presId="urn:microsoft.com/office/officeart/2005/8/layout/orgChart1"/>
    <dgm:cxn modelId="{AF102910-9AE6-4D73-9C0D-8813CFEB15A8}" type="presParOf" srcId="{ECFA0D20-11AA-45DF-8CCD-ABA6B4A2C4C8}" destId="{BD2BB85F-0AED-4832-A48F-F19301F59AB0}" srcOrd="1" destOrd="0" presId="urn:microsoft.com/office/officeart/2005/8/layout/orgChart1"/>
    <dgm:cxn modelId="{7F63465B-5940-49D4-BAB6-AF5CB79910E2}" type="presParOf" srcId="{ECFA0D20-11AA-45DF-8CCD-ABA6B4A2C4C8}" destId="{501CE90E-79E3-4ECA-B24A-391D948C50E7}" srcOrd="2" destOrd="0" presId="urn:microsoft.com/office/officeart/2005/8/layout/orgChart1"/>
    <dgm:cxn modelId="{AAB5D4E8-0650-4037-A3C1-18BB9654E9A5}" type="presParOf" srcId="{D54B756D-A831-45EA-9EF3-264E46FE1432}" destId="{08099536-7A76-4E9C-B9B8-E032E06CDF83}" srcOrd="2" destOrd="0" presId="urn:microsoft.com/office/officeart/2005/8/layout/orgChart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6A6E108-7C9A-4D44-8542-EBDA204748AE}" type="doc">
      <dgm:prSet loTypeId="urn:microsoft.com/office/officeart/2005/8/layout/hierarchy2" loCatId="hierarchy" qsTypeId="urn:microsoft.com/office/officeart/2005/8/quickstyle/simple1" qsCatId="simple" csTypeId="urn:microsoft.com/office/officeart/2005/8/colors/accent0_1" csCatId="mainScheme" phldr="1"/>
      <dgm:spPr/>
      <dgm:t>
        <a:bodyPr/>
        <a:lstStyle/>
        <a:p>
          <a:endParaRPr lang="ru-RU"/>
        </a:p>
      </dgm:t>
    </dgm:pt>
    <dgm:pt modelId="{CEDECF63-E7D9-490E-AFCF-EA486C4F3168}">
      <dgm:prSet phldrT="[Текст]" custT="1"/>
      <dgm:spPr>
        <a:xfrm>
          <a:off x="338813" y="1805708"/>
          <a:ext cx="1653436" cy="117777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Классификационный признак </a:t>
          </a:r>
        </a:p>
      </dgm:t>
    </dgm:pt>
    <dgm:pt modelId="{9269175D-FCA6-4F11-AAFB-3C2753DB497C}" type="parTrans" cxnId="{C9BE15C6-CEDE-41D8-92C8-AE54538CEDAD}">
      <dgm:prSet/>
      <dgm:spPr/>
      <dgm:t>
        <a:bodyPr/>
        <a:lstStyle/>
        <a:p>
          <a:endParaRPr lang="ru-RU" sz="1100">
            <a:latin typeface="Times New Roman" panose="02020603050405020304" pitchFamily="18" charset="0"/>
            <a:cs typeface="Times New Roman" panose="02020603050405020304" pitchFamily="18" charset="0"/>
          </a:endParaRPr>
        </a:p>
      </dgm:t>
    </dgm:pt>
    <dgm:pt modelId="{9FBC84A2-AC0C-4B85-80B6-F13D6D934C82}" type="sibTrans" cxnId="{C9BE15C6-CEDE-41D8-92C8-AE54538CEDAD}">
      <dgm:prSet/>
      <dgm:spPr/>
      <dgm:t>
        <a:bodyPr/>
        <a:lstStyle/>
        <a:p>
          <a:endParaRPr lang="ru-RU" sz="1100">
            <a:latin typeface="Times New Roman" panose="02020603050405020304" pitchFamily="18" charset="0"/>
            <a:cs typeface="Times New Roman" panose="02020603050405020304" pitchFamily="18" charset="0"/>
          </a:endParaRPr>
        </a:p>
      </dgm:t>
    </dgm:pt>
    <dgm:pt modelId="{146ECCEE-2A3A-4C12-AB74-DC76B07D8F39}">
      <dgm:prSet phldrT="[Текст]" custT="1"/>
      <dgm:spPr>
        <a:xfrm>
          <a:off x="2347442" y="513189"/>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видам </a:t>
          </a:r>
        </a:p>
      </dgm:t>
    </dgm:pt>
    <dgm:pt modelId="{4ABDF386-0E9F-49DA-AF50-2CE5796580F7}" type="parTrans" cxnId="{EFF8594D-C8E8-452D-B74A-D5D5F7046C48}">
      <dgm:prSet custT="1"/>
      <dgm:spPr>
        <a:xfrm rot="16924900">
          <a:off x="1321345" y="1556077"/>
          <a:ext cx="1697000" cy="1762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1C9ABF1C-5B4E-466A-B486-E752ADBEF8B1}" type="sibTrans" cxnId="{EFF8594D-C8E8-452D-B74A-D5D5F7046C48}">
      <dgm:prSet/>
      <dgm:spPr/>
      <dgm:t>
        <a:bodyPr/>
        <a:lstStyle/>
        <a:p>
          <a:endParaRPr lang="ru-RU" sz="1100">
            <a:latin typeface="Times New Roman" panose="02020603050405020304" pitchFamily="18" charset="0"/>
            <a:cs typeface="Times New Roman" panose="02020603050405020304" pitchFamily="18" charset="0"/>
          </a:endParaRPr>
        </a:p>
      </dgm:t>
    </dgm:pt>
    <dgm:pt modelId="{22790B01-DB62-4D7F-9834-829488309752}">
      <dgm:prSet phldrT="[Текст]" custT="1"/>
      <dgm:spPr>
        <a:xfrm>
          <a:off x="3590614" y="2600"/>
          <a:ext cx="2207846"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покупательской способностью денежных средств </a:t>
          </a:r>
        </a:p>
      </dgm:t>
    </dgm:pt>
    <dgm:pt modelId="{685CAD7B-6834-41E1-B98A-48A80C57A840}" type="parTrans" cxnId="{106E34BC-E53F-48ED-86E9-CB0C1BDA6541}">
      <dgm:prSet custT="1"/>
      <dgm:spPr>
        <a:xfrm rot="18289469">
          <a:off x="3102027" y="471076"/>
          <a:ext cx="621982"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4736368D-6593-4D8E-8C13-BB4A211889F0}" type="sibTrans" cxnId="{106E34BC-E53F-48ED-86E9-CB0C1BDA6541}">
      <dgm:prSet/>
      <dgm:spPr/>
      <dgm:t>
        <a:bodyPr/>
        <a:lstStyle/>
        <a:p>
          <a:endParaRPr lang="ru-RU" sz="1100">
            <a:latin typeface="Times New Roman" panose="02020603050405020304" pitchFamily="18" charset="0"/>
            <a:cs typeface="Times New Roman" panose="02020603050405020304" pitchFamily="18" charset="0"/>
          </a:endParaRPr>
        </a:p>
      </dgm:t>
    </dgm:pt>
    <dgm:pt modelId="{A36AC118-6F34-462E-A794-F15B4D529033}">
      <dgm:prSet phldrT="[Текст]" custT="1"/>
      <dgm:spPr>
        <a:xfrm>
          <a:off x="3590614" y="513189"/>
          <a:ext cx="203604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вложением капитала </a:t>
          </a:r>
        </a:p>
      </dgm:t>
    </dgm:pt>
    <dgm:pt modelId="{D4A3383C-EB84-4580-8E3A-24918C3BB405}" type="parTrans" cxnId="{3C9B0629-2618-41D0-BFD0-B93D50CD5DB0}">
      <dgm:prSet custT="1"/>
      <dgm:spPr>
        <a:xfrm>
          <a:off x="3235422" y="726370"/>
          <a:ext cx="355192"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4DFC71D2-0D5F-4071-AE2B-410254649340}" type="sibTrans" cxnId="{3C9B0629-2618-41D0-BFD0-B93D50CD5DB0}">
      <dgm:prSet/>
      <dgm:spPr/>
      <dgm:t>
        <a:bodyPr/>
        <a:lstStyle/>
        <a:p>
          <a:endParaRPr lang="ru-RU" sz="1100">
            <a:latin typeface="Times New Roman" panose="02020603050405020304" pitchFamily="18" charset="0"/>
            <a:cs typeface="Times New Roman" panose="02020603050405020304" pitchFamily="18" charset="0"/>
          </a:endParaRPr>
        </a:p>
      </dgm:t>
    </dgm:pt>
    <dgm:pt modelId="{871DC585-E650-4FAA-A72B-1ED6E947DE7D}">
      <dgm:prSet phldrT="[Текст]" custT="1"/>
      <dgm:spPr>
        <a:xfrm>
          <a:off x="2347442" y="1789660"/>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степени мобильности </a:t>
          </a:r>
        </a:p>
      </dgm:t>
    </dgm:pt>
    <dgm:pt modelId="{B2530026-3E1F-4678-B85A-F416589A3E14}" type="parTrans" cxnId="{256416F2-496B-4AD2-8D50-A0A2AA204301}">
      <dgm:prSet custT="1"/>
      <dgm:spPr>
        <a:xfrm rot="18770822">
          <a:off x="1908692" y="2194313"/>
          <a:ext cx="522307" cy="1762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8B727FA7-907E-40BC-BDB6-39F687283D5B}" type="sibTrans" cxnId="{256416F2-496B-4AD2-8D50-A0A2AA204301}">
      <dgm:prSet/>
      <dgm:spPr/>
      <dgm:t>
        <a:bodyPr/>
        <a:lstStyle/>
        <a:p>
          <a:endParaRPr lang="ru-RU" sz="1100">
            <a:latin typeface="Times New Roman" panose="02020603050405020304" pitchFamily="18" charset="0"/>
            <a:cs typeface="Times New Roman" panose="02020603050405020304" pitchFamily="18" charset="0"/>
          </a:endParaRPr>
        </a:p>
      </dgm:t>
    </dgm:pt>
    <dgm:pt modelId="{B21F2F34-6670-4F11-9108-65F12262072B}">
      <dgm:prSet phldrT="[Текст]" custT="1"/>
      <dgm:spPr>
        <a:xfrm>
          <a:off x="3590614" y="1534366"/>
          <a:ext cx="2009871"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систематический </a:t>
          </a:r>
        </a:p>
      </dgm:t>
    </dgm:pt>
    <dgm:pt modelId="{31B4F6A2-EEF3-4351-84BF-7AB8087B07C7}" type="parTrans" cxnId="{7574F9DD-2A0A-48E5-A058-F4E5D04DE074}">
      <dgm:prSet custT="1"/>
      <dgm:spPr>
        <a:xfrm rot="19457599">
          <a:off x="3194308" y="1875195"/>
          <a:ext cx="437420"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A96912F1-A034-426A-AA70-02F66D98C4DC}" type="sibTrans" cxnId="{7574F9DD-2A0A-48E5-A058-F4E5D04DE074}">
      <dgm:prSet/>
      <dgm:spPr/>
      <dgm:t>
        <a:bodyPr/>
        <a:lstStyle/>
        <a:p>
          <a:endParaRPr lang="ru-RU" sz="1100">
            <a:latin typeface="Times New Roman" panose="02020603050405020304" pitchFamily="18" charset="0"/>
            <a:cs typeface="Times New Roman" panose="02020603050405020304" pitchFamily="18" charset="0"/>
          </a:endParaRPr>
        </a:p>
      </dgm:t>
    </dgm:pt>
    <dgm:pt modelId="{17E5AA94-FFE6-407A-8CDD-C67753FBF409}">
      <dgm:prSet custT="1"/>
      <dgm:spPr>
        <a:xfrm>
          <a:off x="3590614" y="1023777"/>
          <a:ext cx="2193062"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формой организации... </a:t>
          </a:r>
        </a:p>
      </dgm:t>
    </dgm:pt>
    <dgm:pt modelId="{D360778E-16A8-412B-A888-2BE966183369}" type="parTrans" cxnId="{33B67BB3-D7EC-41B6-895C-9733598DA385}">
      <dgm:prSet custT="1"/>
      <dgm:spPr>
        <a:xfrm rot="3310531">
          <a:off x="3102027" y="981665"/>
          <a:ext cx="621982"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CCFCBB77-840E-4FBB-A360-6C77D2050493}" type="sibTrans" cxnId="{33B67BB3-D7EC-41B6-895C-9733598DA385}">
      <dgm:prSet/>
      <dgm:spPr/>
      <dgm:t>
        <a:bodyPr/>
        <a:lstStyle/>
        <a:p>
          <a:endParaRPr lang="ru-RU" sz="1100">
            <a:latin typeface="Times New Roman" panose="02020603050405020304" pitchFamily="18" charset="0"/>
            <a:cs typeface="Times New Roman" panose="02020603050405020304" pitchFamily="18" charset="0"/>
          </a:endParaRPr>
        </a:p>
      </dgm:t>
    </dgm:pt>
    <dgm:pt modelId="{CAC8BFC1-E7AB-407F-806A-30B16F743DEB}">
      <dgm:prSet custT="1"/>
      <dgm:spPr>
        <a:xfrm>
          <a:off x="3590614" y="2044954"/>
          <a:ext cx="1512647"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несистематический </a:t>
          </a:r>
        </a:p>
      </dgm:t>
    </dgm:pt>
    <dgm:pt modelId="{55407976-C8EA-4422-A19F-5803C6A62784}" type="parTrans" cxnId="{911FC626-7E9C-493A-B1DE-C36843EB0384}">
      <dgm:prSet custT="1"/>
      <dgm:spPr>
        <a:xfrm rot="2142401">
          <a:off x="3194308" y="2130489"/>
          <a:ext cx="437420"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76867CE2-7297-4694-9C7E-F85DD61EF3F8}" type="sibTrans" cxnId="{911FC626-7E9C-493A-B1DE-C36843EB0384}">
      <dgm:prSet/>
      <dgm:spPr/>
      <dgm:t>
        <a:bodyPr/>
        <a:lstStyle/>
        <a:p>
          <a:endParaRPr lang="ru-RU" sz="1100">
            <a:latin typeface="Times New Roman" panose="02020603050405020304" pitchFamily="18" charset="0"/>
            <a:cs typeface="Times New Roman" panose="02020603050405020304" pitchFamily="18" charset="0"/>
          </a:endParaRPr>
        </a:p>
      </dgm:t>
    </dgm:pt>
    <dgm:pt modelId="{665760C5-3CBC-4F76-A37F-A350670F9E1E}">
      <dgm:prSet custT="1"/>
      <dgm:spPr>
        <a:xfrm>
          <a:off x="2347442" y="2810837"/>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уровню допустимого предела </a:t>
          </a:r>
        </a:p>
      </dgm:t>
    </dgm:pt>
    <dgm:pt modelId="{697D6364-9F1A-4D8B-9D01-4852E6EACFE2}" type="parTrans" cxnId="{C838B27E-7C38-4769-97B3-877C0D1DD174}">
      <dgm:prSet custT="1"/>
      <dgm:spPr>
        <a:xfrm rot="3654187">
          <a:off x="1804638" y="2704901"/>
          <a:ext cx="730415" cy="1762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8074DDFD-F524-4908-87C7-3D77491E310E}" type="sibTrans" cxnId="{C838B27E-7C38-4769-97B3-877C0D1DD174}">
      <dgm:prSet/>
      <dgm:spPr/>
      <dgm:t>
        <a:bodyPr/>
        <a:lstStyle/>
        <a:p>
          <a:endParaRPr lang="ru-RU" sz="1100">
            <a:latin typeface="Times New Roman" panose="02020603050405020304" pitchFamily="18" charset="0"/>
            <a:cs typeface="Times New Roman" panose="02020603050405020304" pitchFamily="18" charset="0"/>
          </a:endParaRPr>
        </a:p>
      </dgm:t>
    </dgm:pt>
    <dgm:pt modelId="{ECCC1D88-7B48-4E8D-833F-DE9E0405E3E5}">
      <dgm:prSet custT="1"/>
      <dgm:spPr>
        <a:xfrm>
          <a:off x="3590614" y="2555543"/>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допустимый </a:t>
          </a:r>
        </a:p>
      </dgm:t>
    </dgm:pt>
    <dgm:pt modelId="{03577792-7AF5-442D-B4D7-369D691330A1}" type="parTrans" cxnId="{CA7E16CD-29FA-49E2-B09A-8ED7798DBE58}">
      <dgm:prSet custT="1"/>
      <dgm:spPr>
        <a:xfrm rot="19457599">
          <a:off x="3194308" y="2896372"/>
          <a:ext cx="437420"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07E2CAFB-64EC-4DFB-BDE0-4DFFC44EDCBD}" type="sibTrans" cxnId="{CA7E16CD-29FA-49E2-B09A-8ED7798DBE58}">
      <dgm:prSet/>
      <dgm:spPr/>
      <dgm:t>
        <a:bodyPr/>
        <a:lstStyle/>
        <a:p>
          <a:endParaRPr lang="ru-RU" sz="1100">
            <a:latin typeface="Times New Roman" panose="02020603050405020304" pitchFamily="18" charset="0"/>
            <a:cs typeface="Times New Roman" panose="02020603050405020304" pitchFamily="18" charset="0"/>
          </a:endParaRPr>
        </a:p>
      </dgm:t>
    </dgm:pt>
    <dgm:pt modelId="{88B4DECE-0B93-4AC6-901B-8C16DE0DA9AA}">
      <dgm:prSet custT="1"/>
      <dgm:spPr>
        <a:xfrm>
          <a:off x="2347442" y="3832014"/>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периодичности </a:t>
          </a:r>
        </a:p>
      </dgm:t>
    </dgm:pt>
    <dgm:pt modelId="{645AA5A7-CEB6-4C12-A7A0-AE3E294C04B9}" type="parTrans" cxnId="{2EF97A33-71BD-4AE3-B699-52DB28BAF2EA}">
      <dgm:prSet custT="1"/>
      <dgm:spPr>
        <a:xfrm rot="4675100">
          <a:off x="1321345" y="3215490"/>
          <a:ext cx="1697000" cy="1762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942E2A48-53EE-46AE-8855-E8C5E36F225F}" type="sibTrans" cxnId="{2EF97A33-71BD-4AE3-B699-52DB28BAF2EA}">
      <dgm:prSet/>
      <dgm:spPr/>
      <dgm:t>
        <a:bodyPr/>
        <a:lstStyle/>
        <a:p>
          <a:endParaRPr lang="ru-RU" sz="1100">
            <a:latin typeface="Times New Roman" panose="02020603050405020304" pitchFamily="18" charset="0"/>
            <a:cs typeface="Times New Roman" panose="02020603050405020304" pitchFamily="18" charset="0"/>
          </a:endParaRPr>
        </a:p>
      </dgm:t>
    </dgm:pt>
    <dgm:pt modelId="{971AF37E-E364-4D8C-B1E0-E66A3091EE37}">
      <dgm:prSet custT="1"/>
      <dgm:spPr>
        <a:xfrm>
          <a:off x="3590614" y="3066132"/>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критический </a:t>
          </a:r>
        </a:p>
      </dgm:t>
    </dgm:pt>
    <dgm:pt modelId="{D5AC543C-FCAE-4AC7-A4D7-4AFE698A8C31}" type="parTrans" cxnId="{E65BDF47-F396-49B1-ADA8-0764853C0379}">
      <dgm:prSet custT="1"/>
      <dgm:spPr>
        <a:xfrm rot="2142401">
          <a:off x="3194308" y="3151666"/>
          <a:ext cx="437420"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C92EE5B1-20D7-4D72-ADFA-A419533AF52C}" type="sibTrans" cxnId="{E65BDF47-F396-49B1-ADA8-0764853C0379}">
      <dgm:prSet/>
      <dgm:spPr/>
      <dgm:t>
        <a:bodyPr/>
        <a:lstStyle/>
        <a:p>
          <a:endParaRPr lang="ru-RU" sz="1100">
            <a:latin typeface="Times New Roman" panose="02020603050405020304" pitchFamily="18" charset="0"/>
            <a:cs typeface="Times New Roman" panose="02020603050405020304" pitchFamily="18" charset="0"/>
          </a:endParaRPr>
        </a:p>
      </dgm:t>
    </dgm:pt>
    <dgm:pt modelId="{40A515C1-351E-471F-AB41-A3A1BD77C186}">
      <dgm:prSet custT="1"/>
      <dgm:spPr>
        <a:xfrm>
          <a:off x="3590614" y="3576720"/>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постоянный </a:t>
          </a:r>
        </a:p>
      </dgm:t>
    </dgm:pt>
    <dgm:pt modelId="{2710C0E9-CB19-4B12-9C20-AC41D80C2019}" type="parTrans" cxnId="{F2D66986-F4C1-4DD5-81F4-767F8BD34C26}">
      <dgm:prSet custT="1"/>
      <dgm:spPr>
        <a:xfrm rot="19457599">
          <a:off x="3194308" y="3917549"/>
          <a:ext cx="437420"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B4261D50-B6B0-4686-B2D4-4C391CA7EE6B}" type="sibTrans" cxnId="{F2D66986-F4C1-4DD5-81F4-767F8BD34C26}">
      <dgm:prSet/>
      <dgm:spPr/>
      <dgm:t>
        <a:bodyPr/>
        <a:lstStyle/>
        <a:p>
          <a:endParaRPr lang="ru-RU" sz="1100">
            <a:latin typeface="Times New Roman" panose="02020603050405020304" pitchFamily="18" charset="0"/>
            <a:cs typeface="Times New Roman" panose="02020603050405020304" pitchFamily="18" charset="0"/>
          </a:endParaRPr>
        </a:p>
      </dgm:t>
    </dgm:pt>
    <dgm:pt modelId="{F84D706A-6D5F-469D-98F6-C18E3AC385E9}">
      <dgm:prSet custT="1"/>
      <dgm:spPr>
        <a:xfrm>
          <a:off x="3590614" y="4087309"/>
          <a:ext cx="887980" cy="44399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временный </a:t>
          </a:r>
        </a:p>
      </dgm:t>
    </dgm:pt>
    <dgm:pt modelId="{2A785870-1D62-43A8-8834-820ACC26160E}" type="parTrans" cxnId="{05A25D41-47F4-438E-BF42-2E0BA1C9033F}">
      <dgm:prSet custT="1"/>
      <dgm:spPr>
        <a:xfrm rot="2142401">
          <a:off x="3194308" y="4172843"/>
          <a:ext cx="437420" cy="176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ru-RU" sz="11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1AEECFAF-04A6-43F1-85A4-3133A2AE3EF7}" type="sibTrans" cxnId="{05A25D41-47F4-438E-BF42-2E0BA1C9033F}">
      <dgm:prSet/>
      <dgm:spPr/>
      <dgm:t>
        <a:bodyPr/>
        <a:lstStyle/>
        <a:p>
          <a:endParaRPr lang="ru-RU" sz="1100">
            <a:latin typeface="Times New Roman" panose="02020603050405020304" pitchFamily="18" charset="0"/>
            <a:cs typeface="Times New Roman" panose="02020603050405020304" pitchFamily="18" charset="0"/>
          </a:endParaRPr>
        </a:p>
      </dgm:t>
    </dgm:pt>
    <dgm:pt modelId="{EB0FACC9-D44E-4505-A2E8-1AF0D7C8D3DD}" type="pres">
      <dgm:prSet presAssocID="{56A6E108-7C9A-4D44-8542-EBDA204748AE}" presName="diagram" presStyleCnt="0">
        <dgm:presLayoutVars>
          <dgm:chPref val="1"/>
          <dgm:dir/>
          <dgm:animOne val="branch"/>
          <dgm:animLvl val="lvl"/>
          <dgm:resizeHandles val="exact"/>
        </dgm:presLayoutVars>
      </dgm:prSet>
      <dgm:spPr/>
      <dgm:t>
        <a:bodyPr/>
        <a:lstStyle/>
        <a:p>
          <a:endParaRPr lang="ru-RU"/>
        </a:p>
      </dgm:t>
    </dgm:pt>
    <dgm:pt modelId="{521962D4-BE94-4257-BEDE-623CA763E7DF}" type="pres">
      <dgm:prSet presAssocID="{CEDECF63-E7D9-490E-AFCF-EA486C4F3168}" presName="root1" presStyleCnt="0"/>
      <dgm:spPr/>
    </dgm:pt>
    <dgm:pt modelId="{2F0A1961-8F1E-447C-8AFC-7E994FD685C4}" type="pres">
      <dgm:prSet presAssocID="{CEDECF63-E7D9-490E-AFCF-EA486C4F3168}" presName="LevelOneTextNode" presStyleLbl="node0" presStyleIdx="0" presStyleCnt="1" custScaleX="186202" custScaleY="265271">
        <dgm:presLayoutVars>
          <dgm:chPref val="3"/>
        </dgm:presLayoutVars>
      </dgm:prSet>
      <dgm:spPr>
        <a:prstGeom prst="roundRect">
          <a:avLst>
            <a:gd name="adj" fmla="val 10000"/>
          </a:avLst>
        </a:prstGeom>
      </dgm:spPr>
      <dgm:t>
        <a:bodyPr/>
        <a:lstStyle/>
        <a:p>
          <a:endParaRPr lang="ru-RU"/>
        </a:p>
      </dgm:t>
    </dgm:pt>
    <dgm:pt modelId="{4A8FB4A6-D37C-4EF0-BEA9-BEDD4A3157C7}" type="pres">
      <dgm:prSet presAssocID="{CEDECF63-E7D9-490E-AFCF-EA486C4F3168}" presName="level2hierChild" presStyleCnt="0"/>
      <dgm:spPr/>
    </dgm:pt>
    <dgm:pt modelId="{B6FF003F-A00C-4422-B62B-6465EA2AD309}" type="pres">
      <dgm:prSet presAssocID="{4ABDF386-0E9F-49DA-AF50-2CE5796580F7}" presName="conn2-1" presStyleLbl="parChTrans1D2" presStyleIdx="0" presStyleCnt="4"/>
      <dgm:spPr>
        <a:custGeom>
          <a:avLst/>
          <a:gdLst/>
          <a:ahLst/>
          <a:cxnLst/>
          <a:rect l="0" t="0" r="0" b="0"/>
          <a:pathLst>
            <a:path>
              <a:moveTo>
                <a:pt x="0" y="8813"/>
              </a:moveTo>
              <a:lnTo>
                <a:pt x="1697000" y="8813"/>
              </a:lnTo>
            </a:path>
          </a:pathLst>
        </a:custGeom>
      </dgm:spPr>
      <dgm:t>
        <a:bodyPr/>
        <a:lstStyle/>
        <a:p>
          <a:endParaRPr lang="ru-RU"/>
        </a:p>
      </dgm:t>
    </dgm:pt>
    <dgm:pt modelId="{EFE04743-7767-4DAD-A676-5662F2589679}" type="pres">
      <dgm:prSet presAssocID="{4ABDF386-0E9F-49DA-AF50-2CE5796580F7}" presName="connTx" presStyleLbl="parChTrans1D2" presStyleIdx="0" presStyleCnt="4"/>
      <dgm:spPr/>
      <dgm:t>
        <a:bodyPr/>
        <a:lstStyle/>
        <a:p>
          <a:endParaRPr lang="ru-RU"/>
        </a:p>
      </dgm:t>
    </dgm:pt>
    <dgm:pt modelId="{D8EE2B20-1DD9-4659-8D0E-8D233D74EAB3}" type="pres">
      <dgm:prSet presAssocID="{146ECCEE-2A3A-4C12-AB74-DC76B07D8F39}" presName="root2" presStyleCnt="0"/>
      <dgm:spPr/>
    </dgm:pt>
    <dgm:pt modelId="{FB52ADF8-143C-4538-A0AA-592F4CA6A59F}" type="pres">
      <dgm:prSet presAssocID="{146ECCEE-2A3A-4C12-AB74-DC76B07D8F39}" presName="LevelTwoTextNode" presStyleLbl="node2" presStyleIdx="0" presStyleCnt="4">
        <dgm:presLayoutVars>
          <dgm:chPref val="3"/>
        </dgm:presLayoutVars>
      </dgm:prSet>
      <dgm:spPr>
        <a:prstGeom prst="roundRect">
          <a:avLst>
            <a:gd name="adj" fmla="val 10000"/>
          </a:avLst>
        </a:prstGeom>
      </dgm:spPr>
      <dgm:t>
        <a:bodyPr/>
        <a:lstStyle/>
        <a:p>
          <a:endParaRPr lang="ru-RU"/>
        </a:p>
      </dgm:t>
    </dgm:pt>
    <dgm:pt modelId="{D7E4E4C3-0EE5-4840-B604-26272E5A447F}" type="pres">
      <dgm:prSet presAssocID="{146ECCEE-2A3A-4C12-AB74-DC76B07D8F39}" presName="level3hierChild" presStyleCnt="0"/>
      <dgm:spPr/>
    </dgm:pt>
    <dgm:pt modelId="{6F527327-DF61-4540-AB81-1DCFF7775473}" type="pres">
      <dgm:prSet presAssocID="{685CAD7B-6834-41E1-B98A-48A80C57A840}" presName="conn2-1" presStyleLbl="parChTrans1D3" presStyleIdx="0" presStyleCnt="9"/>
      <dgm:spPr>
        <a:custGeom>
          <a:avLst/>
          <a:gdLst/>
          <a:ahLst/>
          <a:cxnLst/>
          <a:rect l="0" t="0" r="0" b="0"/>
          <a:pathLst>
            <a:path>
              <a:moveTo>
                <a:pt x="0" y="8813"/>
              </a:moveTo>
              <a:lnTo>
                <a:pt x="621982" y="8813"/>
              </a:lnTo>
            </a:path>
          </a:pathLst>
        </a:custGeom>
      </dgm:spPr>
      <dgm:t>
        <a:bodyPr/>
        <a:lstStyle/>
        <a:p>
          <a:endParaRPr lang="ru-RU"/>
        </a:p>
      </dgm:t>
    </dgm:pt>
    <dgm:pt modelId="{447051D6-F8C7-4662-B747-6913BB2483E3}" type="pres">
      <dgm:prSet presAssocID="{685CAD7B-6834-41E1-B98A-48A80C57A840}" presName="connTx" presStyleLbl="parChTrans1D3" presStyleIdx="0" presStyleCnt="9"/>
      <dgm:spPr/>
      <dgm:t>
        <a:bodyPr/>
        <a:lstStyle/>
        <a:p>
          <a:endParaRPr lang="ru-RU"/>
        </a:p>
      </dgm:t>
    </dgm:pt>
    <dgm:pt modelId="{9CFFF022-7534-48D7-979B-3655FA8CA594}" type="pres">
      <dgm:prSet presAssocID="{22790B01-DB62-4D7F-9834-829488309752}" presName="root2" presStyleCnt="0"/>
      <dgm:spPr/>
    </dgm:pt>
    <dgm:pt modelId="{5EC2653D-A813-4AAB-8164-9F676D83D4E0}" type="pres">
      <dgm:prSet presAssocID="{22790B01-DB62-4D7F-9834-829488309752}" presName="LevelTwoTextNode" presStyleLbl="node3" presStyleIdx="0" presStyleCnt="9" custScaleX="248637">
        <dgm:presLayoutVars>
          <dgm:chPref val="3"/>
        </dgm:presLayoutVars>
      </dgm:prSet>
      <dgm:spPr>
        <a:prstGeom prst="roundRect">
          <a:avLst>
            <a:gd name="adj" fmla="val 10000"/>
          </a:avLst>
        </a:prstGeom>
      </dgm:spPr>
      <dgm:t>
        <a:bodyPr/>
        <a:lstStyle/>
        <a:p>
          <a:endParaRPr lang="ru-RU"/>
        </a:p>
      </dgm:t>
    </dgm:pt>
    <dgm:pt modelId="{F1C01A38-7360-44DD-AC6F-0A8482564598}" type="pres">
      <dgm:prSet presAssocID="{22790B01-DB62-4D7F-9834-829488309752}" presName="level3hierChild" presStyleCnt="0"/>
      <dgm:spPr/>
    </dgm:pt>
    <dgm:pt modelId="{1E642933-314F-490E-8B04-4D4B5974861A}" type="pres">
      <dgm:prSet presAssocID="{D4A3383C-EB84-4580-8E3A-24918C3BB405}" presName="conn2-1" presStyleLbl="parChTrans1D3" presStyleIdx="1" presStyleCnt="9"/>
      <dgm:spPr>
        <a:custGeom>
          <a:avLst/>
          <a:gdLst/>
          <a:ahLst/>
          <a:cxnLst/>
          <a:rect l="0" t="0" r="0" b="0"/>
          <a:pathLst>
            <a:path>
              <a:moveTo>
                <a:pt x="0" y="8813"/>
              </a:moveTo>
              <a:lnTo>
                <a:pt x="355192" y="8813"/>
              </a:lnTo>
            </a:path>
          </a:pathLst>
        </a:custGeom>
      </dgm:spPr>
      <dgm:t>
        <a:bodyPr/>
        <a:lstStyle/>
        <a:p>
          <a:endParaRPr lang="ru-RU"/>
        </a:p>
      </dgm:t>
    </dgm:pt>
    <dgm:pt modelId="{ED4FFF35-4085-418E-9ADE-084A4599B411}" type="pres">
      <dgm:prSet presAssocID="{D4A3383C-EB84-4580-8E3A-24918C3BB405}" presName="connTx" presStyleLbl="parChTrans1D3" presStyleIdx="1" presStyleCnt="9"/>
      <dgm:spPr/>
      <dgm:t>
        <a:bodyPr/>
        <a:lstStyle/>
        <a:p>
          <a:endParaRPr lang="ru-RU"/>
        </a:p>
      </dgm:t>
    </dgm:pt>
    <dgm:pt modelId="{6680B3D5-5F03-4202-95E1-B2740F7EC1A3}" type="pres">
      <dgm:prSet presAssocID="{A36AC118-6F34-462E-A794-F15B4D529033}" presName="root2" presStyleCnt="0"/>
      <dgm:spPr/>
    </dgm:pt>
    <dgm:pt modelId="{A57D100F-F44F-40CF-A0C5-1C10B35BB197}" type="pres">
      <dgm:prSet presAssocID="{A36AC118-6F34-462E-A794-F15B4D529033}" presName="LevelTwoTextNode" presStyleLbl="node3" presStyleIdx="1" presStyleCnt="9" custScaleX="229289">
        <dgm:presLayoutVars>
          <dgm:chPref val="3"/>
        </dgm:presLayoutVars>
      </dgm:prSet>
      <dgm:spPr>
        <a:prstGeom prst="roundRect">
          <a:avLst>
            <a:gd name="adj" fmla="val 10000"/>
          </a:avLst>
        </a:prstGeom>
      </dgm:spPr>
      <dgm:t>
        <a:bodyPr/>
        <a:lstStyle/>
        <a:p>
          <a:endParaRPr lang="ru-RU"/>
        </a:p>
      </dgm:t>
    </dgm:pt>
    <dgm:pt modelId="{A6F154DF-8695-4DFA-8971-D69726E2AD8A}" type="pres">
      <dgm:prSet presAssocID="{A36AC118-6F34-462E-A794-F15B4D529033}" presName="level3hierChild" presStyleCnt="0"/>
      <dgm:spPr/>
    </dgm:pt>
    <dgm:pt modelId="{E9D8DF3E-66DC-4982-BE1E-645A29299E68}" type="pres">
      <dgm:prSet presAssocID="{D360778E-16A8-412B-A888-2BE966183369}" presName="conn2-1" presStyleLbl="parChTrans1D3" presStyleIdx="2" presStyleCnt="9"/>
      <dgm:spPr>
        <a:custGeom>
          <a:avLst/>
          <a:gdLst/>
          <a:ahLst/>
          <a:cxnLst/>
          <a:rect l="0" t="0" r="0" b="0"/>
          <a:pathLst>
            <a:path>
              <a:moveTo>
                <a:pt x="0" y="8813"/>
              </a:moveTo>
              <a:lnTo>
                <a:pt x="621982" y="8813"/>
              </a:lnTo>
            </a:path>
          </a:pathLst>
        </a:custGeom>
      </dgm:spPr>
      <dgm:t>
        <a:bodyPr/>
        <a:lstStyle/>
        <a:p>
          <a:endParaRPr lang="ru-RU"/>
        </a:p>
      </dgm:t>
    </dgm:pt>
    <dgm:pt modelId="{37AD653A-D18B-4C97-AD33-03E77AC5FC9B}" type="pres">
      <dgm:prSet presAssocID="{D360778E-16A8-412B-A888-2BE966183369}" presName="connTx" presStyleLbl="parChTrans1D3" presStyleIdx="2" presStyleCnt="9"/>
      <dgm:spPr/>
      <dgm:t>
        <a:bodyPr/>
        <a:lstStyle/>
        <a:p>
          <a:endParaRPr lang="ru-RU"/>
        </a:p>
      </dgm:t>
    </dgm:pt>
    <dgm:pt modelId="{7839F75D-A25C-46D5-B521-3637701A85EA}" type="pres">
      <dgm:prSet presAssocID="{17E5AA94-FFE6-407A-8CDD-C67753FBF409}" presName="root2" presStyleCnt="0"/>
      <dgm:spPr/>
    </dgm:pt>
    <dgm:pt modelId="{439B56A8-576C-46FA-977A-93FB6C7B2105}" type="pres">
      <dgm:prSet presAssocID="{17E5AA94-FFE6-407A-8CDD-C67753FBF409}" presName="LevelTwoTextNode" presStyleLbl="node3" presStyleIdx="2" presStyleCnt="9" custScaleX="246972">
        <dgm:presLayoutVars>
          <dgm:chPref val="3"/>
        </dgm:presLayoutVars>
      </dgm:prSet>
      <dgm:spPr>
        <a:prstGeom prst="roundRect">
          <a:avLst>
            <a:gd name="adj" fmla="val 10000"/>
          </a:avLst>
        </a:prstGeom>
      </dgm:spPr>
      <dgm:t>
        <a:bodyPr/>
        <a:lstStyle/>
        <a:p>
          <a:endParaRPr lang="ru-RU"/>
        </a:p>
      </dgm:t>
    </dgm:pt>
    <dgm:pt modelId="{5F732A06-398C-43FF-BA24-0957A7AACB8C}" type="pres">
      <dgm:prSet presAssocID="{17E5AA94-FFE6-407A-8CDD-C67753FBF409}" presName="level3hierChild" presStyleCnt="0"/>
      <dgm:spPr/>
    </dgm:pt>
    <dgm:pt modelId="{26ABE1FB-DADD-4DE0-BDD0-72A2CA712F78}" type="pres">
      <dgm:prSet presAssocID="{B2530026-3E1F-4678-B85A-F416589A3E14}" presName="conn2-1" presStyleLbl="parChTrans1D2" presStyleIdx="1" presStyleCnt="4"/>
      <dgm:spPr>
        <a:custGeom>
          <a:avLst/>
          <a:gdLst/>
          <a:ahLst/>
          <a:cxnLst/>
          <a:rect l="0" t="0" r="0" b="0"/>
          <a:pathLst>
            <a:path>
              <a:moveTo>
                <a:pt x="0" y="8813"/>
              </a:moveTo>
              <a:lnTo>
                <a:pt x="522307" y="8813"/>
              </a:lnTo>
            </a:path>
          </a:pathLst>
        </a:custGeom>
      </dgm:spPr>
      <dgm:t>
        <a:bodyPr/>
        <a:lstStyle/>
        <a:p>
          <a:endParaRPr lang="ru-RU"/>
        </a:p>
      </dgm:t>
    </dgm:pt>
    <dgm:pt modelId="{5C87E654-6B30-409E-8D12-6D32A3AB967E}" type="pres">
      <dgm:prSet presAssocID="{B2530026-3E1F-4678-B85A-F416589A3E14}" presName="connTx" presStyleLbl="parChTrans1D2" presStyleIdx="1" presStyleCnt="4"/>
      <dgm:spPr/>
      <dgm:t>
        <a:bodyPr/>
        <a:lstStyle/>
        <a:p>
          <a:endParaRPr lang="ru-RU"/>
        </a:p>
      </dgm:t>
    </dgm:pt>
    <dgm:pt modelId="{E5358251-21E1-4757-A0DD-EAE67C01A5F8}" type="pres">
      <dgm:prSet presAssocID="{871DC585-E650-4FAA-A72B-1ED6E947DE7D}" presName="root2" presStyleCnt="0"/>
      <dgm:spPr/>
    </dgm:pt>
    <dgm:pt modelId="{C5B37481-04EC-4A55-8E26-CBA676AFBCFF}" type="pres">
      <dgm:prSet presAssocID="{871DC585-E650-4FAA-A72B-1ED6E947DE7D}" presName="LevelTwoTextNode" presStyleLbl="node2" presStyleIdx="1" presStyleCnt="4">
        <dgm:presLayoutVars>
          <dgm:chPref val="3"/>
        </dgm:presLayoutVars>
      </dgm:prSet>
      <dgm:spPr>
        <a:prstGeom prst="roundRect">
          <a:avLst>
            <a:gd name="adj" fmla="val 10000"/>
          </a:avLst>
        </a:prstGeom>
      </dgm:spPr>
      <dgm:t>
        <a:bodyPr/>
        <a:lstStyle/>
        <a:p>
          <a:endParaRPr lang="ru-RU"/>
        </a:p>
      </dgm:t>
    </dgm:pt>
    <dgm:pt modelId="{ADD16AFA-849C-422F-930E-62C6EB7321D1}" type="pres">
      <dgm:prSet presAssocID="{871DC585-E650-4FAA-A72B-1ED6E947DE7D}" presName="level3hierChild" presStyleCnt="0"/>
      <dgm:spPr/>
    </dgm:pt>
    <dgm:pt modelId="{3A6ED110-8BC2-40E6-9B11-2AD08CF00EA4}" type="pres">
      <dgm:prSet presAssocID="{31B4F6A2-EEF3-4351-84BF-7AB8087B07C7}" presName="conn2-1" presStyleLbl="parChTrans1D3" presStyleIdx="3" presStyleCnt="9"/>
      <dgm:spPr>
        <a:custGeom>
          <a:avLst/>
          <a:gdLst/>
          <a:ahLst/>
          <a:cxnLst/>
          <a:rect l="0" t="0" r="0" b="0"/>
          <a:pathLst>
            <a:path>
              <a:moveTo>
                <a:pt x="0" y="8813"/>
              </a:moveTo>
              <a:lnTo>
                <a:pt x="437420" y="8813"/>
              </a:lnTo>
            </a:path>
          </a:pathLst>
        </a:custGeom>
      </dgm:spPr>
      <dgm:t>
        <a:bodyPr/>
        <a:lstStyle/>
        <a:p>
          <a:endParaRPr lang="ru-RU"/>
        </a:p>
      </dgm:t>
    </dgm:pt>
    <dgm:pt modelId="{4703B34B-7462-4999-9A6B-64AE3735FD53}" type="pres">
      <dgm:prSet presAssocID="{31B4F6A2-EEF3-4351-84BF-7AB8087B07C7}" presName="connTx" presStyleLbl="parChTrans1D3" presStyleIdx="3" presStyleCnt="9"/>
      <dgm:spPr/>
      <dgm:t>
        <a:bodyPr/>
        <a:lstStyle/>
        <a:p>
          <a:endParaRPr lang="ru-RU"/>
        </a:p>
      </dgm:t>
    </dgm:pt>
    <dgm:pt modelId="{32C9BE24-2ECB-4400-96E8-E9EC089849DC}" type="pres">
      <dgm:prSet presAssocID="{B21F2F34-6670-4F11-9108-65F12262072B}" presName="root2" presStyleCnt="0"/>
      <dgm:spPr/>
    </dgm:pt>
    <dgm:pt modelId="{04C63C78-1048-40DD-9E8E-44A58320C1F8}" type="pres">
      <dgm:prSet presAssocID="{B21F2F34-6670-4F11-9108-65F12262072B}" presName="LevelTwoTextNode" presStyleLbl="node3" presStyleIdx="3" presStyleCnt="9" custScaleX="226342">
        <dgm:presLayoutVars>
          <dgm:chPref val="3"/>
        </dgm:presLayoutVars>
      </dgm:prSet>
      <dgm:spPr>
        <a:prstGeom prst="roundRect">
          <a:avLst>
            <a:gd name="adj" fmla="val 10000"/>
          </a:avLst>
        </a:prstGeom>
      </dgm:spPr>
      <dgm:t>
        <a:bodyPr/>
        <a:lstStyle/>
        <a:p>
          <a:endParaRPr lang="ru-RU"/>
        </a:p>
      </dgm:t>
    </dgm:pt>
    <dgm:pt modelId="{8DB6EBAD-B02C-4D68-89D8-200C3741E555}" type="pres">
      <dgm:prSet presAssocID="{B21F2F34-6670-4F11-9108-65F12262072B}" presName="level3hierChild" presStyleCnt="0"/>
      <dgm:spPr/>
    </dgm:pt>
    <dgm:pt modelId="{CF54DBF9-193C-42DF-8E52-FD8AB384B02F}" type="pres">
      <dgm:prSet presAssocID="{55407976-C8EA-4422-A19F-5803C6A62784}" presName="conn2-1" presStyleLbl="parChTrans1D3" presStyleIdx="4" presStyleCnt="9"/>
      <dgm:spPr>
        <a:custGeom>
          <a:avLst/>
          <a:gdLst/>
          <a:ahLst/>
          <a:cxnLst/>
          <a:rect l="0" t="0" r="0" b="0"/>
          <a:pathLst>
            <a:path>
              <a:moveTo>
                <a:pt x="0" y="8813"/>
              </a:moveTo>
              <a:lnTo>
                <a:pt x="437420" y="8813"/>
              </a:lnTo>
            </a:path>
          </a:pathLst>
        </a:custGeom>
      </dgm:spPr>
      <dgm:t>
        <a:bodyPr/>
        <a:lstStyle/>
        <a:p>
          <a:endParaRPr lang="ru-RU"/>
        </a:p>
      </dgm:t>
    </dgm:pt>
    <dgm:pt modelId="{A611B3AA-2F27-4C0C-AC3A-EE087B8B9472}" type="pres">
      <dgm:prSet presAssocID="{55407976-C8EA-4422-A19F-5803C6A62784}" presName="connTx" presStyleLbl="parChTrans1D3" presStyleIdx="4" presStyleCnt="9"/>
      <dgm:spPr/>
      <dgm:t>
        <a:bodyPr/>
        <a:lstStyle/>
        <a:p>
          <a:endParaRPr lang="ru-RU"/>
        </a:p>
      </dgm:t>
    </dgm:pt>
    <dgm:pt modelId="{5739809E-0C86-480D-933A-0AB8F564FE1B}" type="pres">
      <dgm:prSet presAssocID="{CAC8BFC1-E7AB-407F-806A-30B16F743DEB}" presName="root2" presStyleCnt="0"/>
      <dgm:spPr/>
    </dgm:pt>
    <dgm:pt modelId="{8EB93ACA-8778-410B-ACE7-DEEE1E91A71D}" type="pres">
      <dgm:prSet presAssocID="{CAC8BFC1-E7AB-407F-806A-30B16F743DEB}" presName="LevelTwoTextNode" presStyleLbl="node3" presStyleIdx="4" presStyleCnt="9" custScaleX="170347">
        <dgm:presLayoutVars>
          <dgm:chPref val="3"/>
        </dgm:presLayoutVars>
      </dgm:prSet>
      <dgm:spPr>
        <a:prstGeom prst="roundRect">
          <a:avLst>
            <a:gd name="adj" fmla="val 10000"/>
          </a:avLst>
        </a:prstGeom>
      </dgm:spPr>
      <dgm:t>
        <a:bodyPr/>
        <a:lstStyle/>
        <a:p>
          <a:endParaRPr lang="ru-RU"/>
        </a:p>
      </dgm:t>
    </dgm:pt>
    <dgm:pt modelId="{7AB55B4B-C101-455B-8D5C-1335D8DF518F}" type="pres">
      <dgm:prSet presAssocID="{CAC8BFC1-E7AB-407F-806A-30B16F743DEB}" presName="level3hierChild" presStyleCnt="0"/>
      <dgm:spPr/>
    </dgm:pt>
    <dgm:pt modelId="{17ADD37B-3517-4349-BFBA-C3A03D90125F}" type="pres">
      <dgm:prSet presAssocID="{697D6364-9F1A-4D8B-9D01-4852E6EACFE2}" presName="conn2-1" presStyleLbl="parChTrans1D2" presStyleIdx="2" presStyleCnt="4"/>
      <dgm:spPr>
        <a:custGeom>
          <a:avLst/>
          <a:gdLst/>
          <a:ahLst/>
          <a:cxnLst/>
          <a:rect l="0" t="0" r="0" b="0"/>
          <a:pathLst>
            <a:path>
              <a:moveTo>
                <a:pt x="0" y="8813"/>
              </a:moveTo>
              <a:lnTo>
                <a:pt x="730415" y="8813"/>
              </a:lnTo>
            </a:path>
          </a:pathLst>
        </a:custGeom>
      </dgm:spPr>
      <dgm:t>
        <a:bodyPr/>
        <a:lstStyle/>
        <a:p>
          <a:endParaRPr lang="ru-RU"/>
        </a:p>
      </dgm:t>
    </dgm:pt>
    <dgm:pt modelId="{DEF47897-F7A8-42A6-9395-09EF925CCD72}" type="pres">
      <dgm:prSet presAssocID="{697D6364-9F1A-4D8B-9D01-4852E6EACFE2}" presName="connTx" presStyleLbl="parChTrans1D2" presStyleIdx="2" presStyleCnt="4"/>
      <dgm:spPr/>
      <dgm:t>
        <a:bodyPr/>
        <a:lstStyle/>
        <a:p>
          <a:endParaRPr lang="ru-RU"/>
        </a:p>
      </dgm:t>
    </dgm:pt>
    <dgm:pt modelId="{C59778D1-EB7A-417A-A530-416B2953C64F}" type="pres">
      <dgm:prSet presAssocID="{665760C5-3CBC-4F76-A37F-A350670F9E1E}" presName="root2" presStyleCnt="0"/>
      <dgm:spPr/>
    </dgm:pt>
    <dgm:pt modelId="{B624EF8E-4AF4-414A-B735-E6AFA8453033}" type="pres">
      <dgm:prSet presAssocID="{665760C5-3CBC-4F76-A37F-A350670F9E1E}" presName="LevelTwoTextNode" presStyleLbl="node2" presStyleIdx="2" presStyleCnt="4">
        <dgm:presLayoutVars>
          <dgm:chPref val="3"/>
        </dgm:presLayoutVars>
      </dgm:prSet>
      <dgm:spPr>
        <a:prstGeom prst="roundRect">
          <a:avLst>
            <a:gd name="adj" fmla="val 10000"/>
          </a:avLst>
        </a:prstGeom>
      </dgm:spPr>
      <dgm:t>
        <a:bodyPr/>
        <a:lstStyle/>
        <a:p>
          <a:endParaRPr lang="ru-RU"/>
        </a:p>
      </dgm:t>
    </dgm:pt>
    <dgm:pt modelId="{2AE3E80F-C6AB-4160-999D-289D1890E39E}" type="pres">
      <dgm:prSet presAssocID="{665760C5-3CBC-4F76-A37F-A350670F9E1E}" presName="level3hierChild" presStyleCnt="0"/>
      <dgm:spPr/>
    </dgm:pt>
    <dgm:pt modelId="{8065B585-2ACE-4ABE-AE44-B2755114C3CF}" type="pres">
      <dgm:prSet presAssocID="{03577792-7AF5-442D-B4D7-369D691330A1}" presName="conn2-1" presStyleLbl="parChTrans1D3" presStyleIdx="5" presStyleCnt="9"/>
      <dgm:spPr>
        <a:custGeom>
          <a:avLst/>
          <a:gdLst/>
          <a:ahLst/>
          <a:cxnLst/>
          <a:rect l="0" t="0" r="0" b="0"/>
          <a:pathLst>
            <a:path>
              <a:moveTo>
                <a:pt x="0" y="8813"/>
              </a:moveTo>
              <a:lnTo>
                <a:pt x="437420" y="8813"/>
              </a:lnTo>
            </a:path>
          </a:pathLst>
        </a:custGeom>
      </dgm:spPr>
      <dgm:t>
        <a:bodyPr/>
        <a:lstStyle/>
        <a:p>
          <a:endParaRPr lang="ru-RU"/>
        </a:p>
      </dgm:t>
    </dgm:pt>
    <dgm:pt modelId="{0FCA4953-6C8F-4D37-92FE-23A43FBEF00A}" type="pres">
      <dgm:prSet presAssocID="{03577792-7AF5-442D-B4D7-369D691330A1}" presName="connTx" presStyleLbl="parChTrans1D3" presStyleIdx="5" presStyleCnt="9"/>
      <dgm:spPr/>
      <dgm:t>
        <a:bodyPr/>
        <a:lstStyle/>
        <a:p>
          <a:endParaRPr lang="ru-RU"/>
        </a:p>
      </dgm:t>
    </dgm:pt>
    <dgm:pt modelId="{6C8CD1A9-2EC4-47BA-88B9-C7DD07CB401A}" type="pres">
      <dgm:prSet presAssocID="{ECCC1D88-7B48-4E8D-833F-DE9E0405E3E5}" presName="root2" presStyleCnt="0"/>
      <dgm:spPr/>
    </dgm:pt>
    <dgm:pt modelId="{CF4BC1EB-2131-4A07-BA87-D19BBC0DD925}" type="pres">
      <dgm:prSet presAssocID="{ECCC1D88-7B48-4E8D-833F-DE9E0405E3E5}" presName="LevelTwoTextNode" presStyleLbl="node3" presStyleIdx="5" presStyleCnt="9">
        <dgm:presLayoutVars>
          <dgm:chPref val="3"/>
        </dgm:presLayoutVars>
      </dgm:prSet>
      <dgm:spPr>
        <a:prstGeom prst="roundRect">
          <a:avLst>
            <a:gd name="adj" fmla="val 10000"/>
          </a:avLst>
        </a:prstGeom>
      </dgm:spPr>
      <dgm:t>
        <a:bodyPr/>
        <a:lstStyle/>
        <a:p>
          <a:endParaRPr lang="ru-RU"/>
        </a:p>
      </dgm:t>
    </dgm:pt>
    <dgm:pt modelId="{217BF419-8C14-41CB-AE29-9E7F266F1F07}" type="pres">
      <dgm:prSet presAssocID="{ECCC1D88-7B48-4E8D-833F-DE9E0405E3E5}" presName="level3hierChild" presStyleCnt="0"/>
      <dgm:spPr/>
    </dgm:pt>
    <dgm:pt modelId="{5907D415-A514-41B7-A559-C6D9D4990BE3}" type="pres">
      <dgm:prSet presAssocID="{D5AC543C-FCAE-4AC7-A4D7-4AFE698A8C31}" presName="conn2-1" presStyleLbl="parChTrans1D3" presStyleIdx="6" presStyleCnt="9"/>
      <dgm:spPr>
        <a:custGeom>
          <a:avLst/>
          <a:gdLst/>
          <a:ahLst/>
          <a:cxnLst/>
          <a:rect l="0" t="0" r="0" b="0"/>
          <a:pathLst>
            <a:path>
              <a:moveTo>
                <a:pt x="0" y="8813"/>
              </a:moveTo>
              <a:lnTo>
                <a:pt x="437420" y="8813"/>
              </a:lnTo>
            </a:path>
          </a:pathLst>
        </a:custGeom>
      </dgm:spPr>
      <dgm:t>
        <a:bodyPr/>
        <a:lstStyle/>
        <a:p>
          <a:endParaRPr lang="ru-RU"/>
        </a:p>
      </dgm:t>
    </dgm:pt>
    <dgm:pt modelId="{48C02CB6-8116-4527-A02D-2622F0BAF9B5}" type="pres">
      <dgm:prSet presAssocID="{D5AC543C-FCAE-4AC7-A4D7-4AFE698A8C31}" presName="connTx" presStyleLbl="parChTrans1D3" presStyleIdx="6" presStyleCnt="9"/>
      <dgm:spPr/>
      <dgm:t>
        <a:bodyPr/>
        <a:lstStyle/>
        <a:p>
          <a:endParaRPr lang="ru-RU"/>
        </a:p>
      </dgm:t>
    </dgm:pt>
    <dgm:pt modelId="{8404C89D-FBA8-4CA5-881A-AC05B23C3DE6}" type="pres">
      <dgm:prSet presAssocID="{971AF37E-E364-4D8C-B1E0-E66A3091EE37}" presName="root2" presStyleCnt="0"/>
      <dgm:spPr/>
    </dgm:pt>
    <dgm:pt modelId="{351E61A5-6009-4CD4-98F0-A836601480D5}" type="pres">
      <dgm:prSet presAssocID="{971AF37E-E364-4D8C-B1E0-E66A3091EE37}" presName="LevelTwoTextNode" presStyleLbl="node3" presStyleIdx="6" presStyleCnt="9">
        <dgm:presLayoutVars>
          <dgm:chPref val="3"/>
        </dgm:presLayoutVars>
      </dgm:prSet>
      <dgm:spPr>
        <a:prstGeom prst="roundRect">
          <a:avLst>
            <a:gd name="adj" fmla="val 10000"/>
          </a:avLst>
        </a:prstGeom>
      </dgm:spPr>
      <dgm:t>
        <a:bodyPr/>
        <a:lstStyle/>
        <a:p>
          <a:endParaRPr lang="ru-RU"/>
        </a:p>
      </dgm:t>
    </dgm:pt>
    <dgm:pt modelId="{08628FBE-C343-490C-BA6E-8FD35F050A91}" type="pres">
      <dgm:prSet presAssocID="{971AF37E-E364-4D8C-B1E0-E66A3091EE37}" presName="level3hierChild" presStyleCnt="0"/>
      <dgm:spPr/>
    </dgm:pt>
    <dgm:pt modelId="{CF9064E1-150C-4C05-BFB2-AAEEE0B6D5B3}" type="pres">
      <dgm:prSet presAssocID="{645AA5A7-CEB6-4C12-A7A0-AE3E294C04B9}" presName="conn2-1" presStyleLbl="parChTrans1D2" presStyleIdx="3" presStyleCnt="4"/>
      <dgm:spPr>
        <a:custGeom>
          <a:avLst/>
          <a:gdLst/>
          <a:ahLst/>
          <a:cxnLst/>
          <a:rect l="0" t="0" r="0" b="0"/>
          <a:pathLst>
            <a:path>
              <a:moveTo>
                <a:pt x="0" y="8813"/>
              </a:moveTo>
              <a:lnTo>
                <a:pt x="1697000" y="8813"/>
              </a:lnTo>
            </a:path>
          </a:pathLst>
        </a:custGeom>
      </dgm:spPr>
      <dgm:t>
        <a:bodyPr/>
        <a:lstStyle/>
        <a:p>
          <a:endParaRPr lang="ru-RU"/>
        </a:p>
      </dgm:t>
    </dgm:pt>
    <dgm:pt modelId="{D8248EF5-6278-45A5-898F-09A10308845C}" type="pres">
      <dgm:prSet presAssocID="{645AA5A7-CEB6-4C12-A7A0-AE3E294C04B9}" presName="connTx" presStyleLbl="parChTrans1D2" presStyleIdx="3" presStyleCnt="4"/>
      <dgm:spPr/>
      <dgm:t>
        <a:bodyPr/>
        <a:lstStyle/>
        <a:p>
          <a:endParaRPr lang="ru-RU"/>
        </a:p>
      </dgm:t>
    </dgm:pt>
    <dgm:pt modelId="{F90817AB-6584-46E0-9184-B40AF27AFC86}" type="pres">
      <dgm:prSet presAssocID="{88B4DECE-0B93-4AC6-901B-8C16DE0DA9AA}" presName="root2" presStyleCnt="0"/>
      <dgm:spPr/>
    </dgm:pt>
    <dgm:pt modelId="{E05222A6-6BB3-4FB0-89D1-1C58D307F371}" type="pres">
      <dgm:prSet presAssocID="{88B4DECE-0B93-4AC6-901B-8C16DE0DA9AA}" presName="LevelTwoTextNode" presStyleLbl="node2" presStyleIdx="3" presStyleCnt="4">
        <dgm:presLayoutVars>
          <dgm:chPref val="3"/>
        </dgm:presLayoutVars>
      </dgm:prSet>
      <dgm:spPr>
        <a:prstGeom prst="roundRect">
          <a:avLst>
            <a:gd name="adj" fmla="val 10000"/>
          </a:avLst>
        </a:prstGeom>
      </dgm:spPr>
      <dgm:t>
        <a:bodyPr/>
        <a:lstStyle/>
        <a:p>
          <a:endParaRPr lang="ru-RU"/>
        </a:p>
      </dgm:t>
    </dgm:pt>
    <dgm:pt modelId="{3945CFB0-4770-40A0-B7A4-D42B4106DBBE}" type="pres">
      <dgm:prSet presAssocID="{88B4DECE-0B93-4AC6-901B-8C16DE0DA9AA}" presName="level3hierChild" presStyleCnt="0"/>
      <dgm:spPr/>
    </dgm:pt>
    <dgm:pt modelId="{DD1A0724-8FCF-4340-AB80-F872DA922FD6}" type="pres">
      <dgm:prSet presAssocID="{2710C0E9-CB19-4B12-9C20-AC41D80C2019}" presName="conn2-1" presStyleLbl="parChTrans1D3" presStyleIdx="7" presStyleCnt="9"/>
      <dgm:spPr>
        <a:custGeom>
          <a:avLst/>
          <a:gdLst/>
          <a:ahLst/>
          <a:cxnLst/>
          <a:rect l="0" t="0" r="0" b="0"/>
          <a:pathLst>
            <a:path>
              <a:moveTo>
                <a:pt x="0" y="8813"/>
              </a:moveTo>
              <a:lnTo>
                <a:pt x="437420" y="8813"/>
              </a:lnTo>
            </a:path>
          </a:pathLst>
        </a:custGeom>
      </dgm:spPr>
      <dgm:t>
        <a:bodyPr/>
        <a:lstStyle/>
        <a:p>
          <a:endParaRPr lang="ru-RU"/>
        </a:p>
      </dgm:t>
    </dgm:pt>
    <dgm:pt modelId="{D41AE78F-D392-4B61-9A75-4D0B40B96198}" type="pres">
      <dgm:prSet presAssocID="{2710C0E9-CB19-4B12-9C20-AC41D80C2019}" presName="connTx" presStyleLbl="parChTrans1D3" presStyleIdx="7" presStyleCnt="9"/>
      <dgm:spPr/>
      <dgm:t>
        <a:bodyPr/>
        <a:lstStyle/>
        <a:p>
          <a:endParaRPr lang="ru-RU"/>
        </a:p>
      </dgm:t>
    </dgm:pt>
    <dgm:pt modelId="{9F4C8C81-2A6C-4D6D-801D-84990B219C6F}" type="pres">
      <dgm:prSet presAssocID="{40A515C1-351E-471F-AB41-A3A1BD77C186}" presName="root2" presStyleCnt="0"/>
      <dgm:spPr/>
    </dgm:pt>
    <dgm:pt modelId="{E59B8E8B-D3BF-4361-94C6-8D2BC906F1B7}" type="pres">
      <dgm:prSet presAssocID="{40A515C1-351E-471F-AB41-A3A1BD77C186}" presName="LevelTwoTextNode" presStyleLbl="node3" presStyleIdx="7" presStyleCnt="9">
        <dgm:presLayoutVars>
          <dgm:chPref val="3"/>
        </dgm:presLayoutVars>
      </dgm:prSet>
      <dgm:spPr>
        <a:prstGeom prst="roundRect">
          <a:avLst>
            <a:gd name="adj" fmla="val 10000"/>
          </a:avLst>
        </a:prstGeom>
      </dgm:spPr>
      <dgm:t>
        <a:bodyPr/>
        <a:lstStyle/>
        <a:p>
          <a:endParaRPr lang="ru-RU"/>
        </a:p>
      </dgm:t>
    </dgm:pt>
    <dgm:pt modelId="{3A755288-5BB4-427D-A32E-6EEB802C2A9B}" type="pres">
      <dgm:prSet presAssocID="{40A515C1-351E-471F-AB41-A3A1BD77C186}" presName="level3hierChild" presStyleCnt="0"/>
      <dgm:spPr/>
    </dgm:pt>
    <dgm:pt modelId="{BD42A79B-7D0A-4655-A1AE-383BDD83048D}" type="pres">
      <dgm:prSet presAssocID="{2A785870-1D62-43A8-8834-820ACC26160E}" presName="conn2-1" presStyleLbl="parChTrans1D3" presStyleIdx="8" presStyleCnt="9"/>
      <dgm:spPr>
        <a:custGeom>
          <a:avLst/>
          <a:gdLst/>
          <a:ahLst/>
          <a:cxnLst/>
          <a:rect l="0" t="0" r="0" b="0"/>
          <a:pathLst>
            <a:path>
              <a:moveTo>
                <a:pt x="0" y="8813"/>
              </a:moveTo>
              <a:lnTo>
                <a:pt x="437420" y="8813"/>
              </a:lnTo>
            </a:path>
          </a:pathLst>
        </a:custGeom>
      </dgm:spPr>
      <dgm:t>
        <a:bodyPr/>
        <a:lstStyle/>
        <a:p>
          <a:endParaRPr lang="ru-RU"/>
        </a:p>
      </dgm:t>
    </dgm:pt>
    <dgm:pt modelId="{282E989E-006E-4612-81A1-A2A6BBDF2FE4}" type="pres">
      <dgm:prSet presAssocID="{2A785870-1D62-43A8-8834-820ACC26160E}" presName="connTx" presStyleLbl="parChTrans1D3" presStyleIdx="8" presStyleCnt="9"/>
      <dgm:spPr/>
      <dgm:t>
        <a:bodyPr/>
        <a:lstStyle/>
        <a:p>
          <a:endParaRPr lang="ru-RU"/>
        </a:p>
      </dgm:t>
    </dgm:pt>
    <dgm:pt modelId="{7D25956E-B14B-4BC9-86AD-323071673F21}" type="pres">
      <dgm:prSet presAssocID="{F84D706A-6D5F-469D-98F6-C18E3AC385E9}" presName="root2" presStyleCnt="0"/>
      <dgm:spPr/>
    </dgm:pt>
    <dgm:pt modelId="{4A91AAF3-0B6C-4E2E-952C-31F3D0BD34CA}" type="pres">
      <dgm:prSet presAssocID="{F84D706A-6D5F-469D-98F6-C18E3AC385E9}" presName="LevelTwoTextNode" presStyleLbl="node3" presStyleIdx="8" presStyleCnt="9">
        <dgm:presLayoutVars>
          <dgm:chPref val="3"/>
        </dgm:presLayoutVars>
      </dgm:prSet>
      <dgm:spPr>
        <a:prstGeom prst="roundRect">
          <a:avLst>
            <a:gd name="adj" fmla="val 10000"/>
          </a:avLst>
        </a:prstGeom>
      </dgm:spPr>
      <dgm:t>
        <a:bodyPr/>
        <a:lstStyle/>
        <a:p>
          <a:endParaRPr lang="ru-RU"/>
        </a:p>
      </dgm:t>
    </dgm:pt>
    <dgm:pt modelId="{582078FD-FDED-4019-87C7-181FA09702FC}" type="pres">
      <dgm:prSet presAssocID="{F84D706A-6D5F-469D-98F6-C18E3AC385E9}" presName="level3hierChild" presStyleCnt="0"/>
      <dgm:spPr/>
    </dgm:pt>
  </dgm:ptLst>
  <dgm:cxnLst>
    <dgm:cxn modelId="{911FC626-7E9C-493A-B1DE-C36843EB0384}" srcId="{871DC585-E650-4FAA-A72B-1ED6E947DE7D}" destId="{CAC8BFC1-E7AB-407F-806A-30B16F743DEB}" srcOrd="1" destOrd="0" parTransId="{55407976-C8EA-4422-A19F-5803C6A62784}" sibTransId="{76867CE2-7297-4694-9C7E-F85DD61EF3F8}"/>
    <dgm:cxn modelId="{33B67BB3-D7EC-41B6-895C-9733598DA385}" srcId="{146ECCEE-2A3A-4C12-AB74-DC76B07D8F39}" destId="{17E5AA94-FFE6-407A-8CDD-C67753FBF409}" srcOrd="2" destOrd="0" parTransId="{D360778E-16A8-412B-A888-2BE966183369}" sibTransId="{CCFCBB77-840E-4FBB-A360-6C77D2050493}"/>
    <dgm:cxn modelId="{EFF8594D-C8E8-452D-B74A-D5D5F7046C48}" srcId="{CEDECF63-E7D9-490E-AFCF-EA486C4F3168}" destId="{146ECCEE-2A3A-4C12-AB74-DC76B07D8F39}" srcOrd="0" destOrd="0" parTransId="{4ABDF386-0E9F-49DA-AF50-2CE5796580F7}" sibTransId="{1C9ABF1C-5B4E-466A-B486-E752ADBEF8B1}"/>
    <dgm:cxn modelId="{8B6000E1-3E4C-45BC-97D8-25503CD77F10}" type="presOf" srcId="{2710C0E9-CB19-4B12-9C20-AC41D80C2019}" destId="{D41AE78F-D392-4B61-9A75-4D0B40B96198}" srcOrd="1" destOrd="0" presId="urn:microsoft.com/office/officeart/2005/8/layout/hierarchy2"/>
    <dgm:cxn modelId="{785533F2-0CBF-4468-BC4D-4654212FABBE}" type="presOf" srcId="{4ABDF386-0E9F-49DA-AF50-2CE5796580F7}" destId="{B6FF003F-A00C-4422-B62B-6465EA2AD309}" srcOrd="0" destOrd="0" presId="urn:microsoft.com/office/officeart/2005/8/layout/hierarchy2"/>
    <dgm:cxn modelId="{106E34BC-E53F-48ED-86E9-CB0C1BDA6541}" srcId="{146ECCEE-2A3A-4C12-AB74-DC76B07D8F39}" destId="{22790B01-DB62-4D7F-9834-829488309752}" srcOrd="0" destOrd="0" parTransId="{685CAD7B-6834-41E1-B98A-48A80C57A840}" sibTransId="{4736368D-6593-4D8E-8C13-BB4A211889F0}"/>
    <dgm:cxn modelId="{264EC19B-73BD-4B7C-94CC-40F4A691D7B8}" type="presOf" srcId="{685CAD7B-6834-41E1-B98A-48A80C57A840}" destId="{447051D6-F8C7-4662-B747-6913BB2483E3}" srcOrd="1" destOrd="0" presId="urn:microsoft.com/office/officeart/2005/8/layout/hierarchy2"/>
    <dgm:cxn modelId="{AE314B34-3810-43B8-9ED4-7AB1FDB7FFF6}" type="presOf" srcId="{40A515C1-351E-471F-AB41-A3A1BD77C186}" destId="{E59B8E8B-D3BF-4361-94C6-8D2BC906F1B7}" srcOrd="0" destOrd="0" presId="urn:microsoft.com/office/officeart/2005/8/layout/hierarchy2"/>
    <dgm:cxn modelId="{024E72A1-3EE4-4DC5-B449-BE30773D3569}" type="presOf" srcId="{697D6364-9F1A-4D8B-9D01-4852E6EACFE2}" destId="{17ADD37B-3517-4349-BFBA-C3A03D90125F}" srcOrd="0" destOrd="0" presId="urn:microsoft.com/office/officeart/2005/8/layout/hierarchy2"/>
    <dgm:cxn modelId="{FCD37552-4540-4FCB-B68E-542BD54274F6}" type="presOf" srcId="{03577792-7AF5-442D-B4D7-369D691330A1}" destId="{0FCA4953-6C8F-4D37-92FE-23A43FBEF00A}" srcOrd="1" destOrd="0" presId="urn:microsoft.com/office/officeart/2005/8/layout/hierarchy2"/>
    <dgm:cxn modelId="{38FBE1E4-26C4-4766-B57A-01DD6899023E}" type="presOf" srcId="{D5AC543C-FCAE-4AC7-A4D7-4AFE698A8C31}" destId="{48C02CB6-8116-4527-A02D-2622F0BAF9B5}" srcOrd="1" destOrd="0" presId="urn:microsoft.com/office/officeart/2005/8/layout/hierarchy2"/>
    <dgm:cxn modelId="{05A25D41-47F4-438E-BF42-2E0BA1C9033F}" srcId="{88B4DECE-0B93-4AC6-901B-8C16DE0DA9AA}" destId="{F84D706A-6D5F-469D-98F6-C18E3AC385E9}" srcOrd="1" destOrd="0" parTransId="{2A785870-1D62-43A8-8834-820ACC26160E}" sibTransId="{1AEECFAF-04A6-43F1-85A4-3133A2AE3EF7}"/>
    <dgm:cxn modelId="{418CBD55-A18A-4FBD-9F34-D66DCB23F089}" type="presOf" srcId="{D5AC543C-FCAE-4AC7-A4D7-4AFE698A8C31}" destId="{5907D415-A514-41B7-A559-C6D9D4990BE3}" srcOrd="0" destOrd="0" presId="urn:microsoft.com/office/officeart/2005/8/layout/hierarchy2"/>
    <dgm:cxn modelId="{6BC692C4-4D45-4CA1-8F5F-6B1B54AE0A9F}" type="presOf" srcId="{31B4F6A2-EEF3-4351-84BF-7AB8087B07C7}" destId="{3A6ED110-8BC2-40E6-9B11-2AD08CF00EA4}" srcOrd="0" destOrd="0" presId="urn:microsoft.com/office/officeart/2005/8/layout/hierarchy2"/>
    <dgm:cxn modelId="{0153E7AB-B473-45A5-A835-385968EC5844}" type="presOf" srcId="{645AA5A7-CEB6-4C12-A7A0-AE3E294C04B9}" destId="{CF9064E1-150C-4C05-BFB2-AAEEE0B6D5B3}" srcOrd="0" destOrd="0" presId="urn:microsoft.com/office/officeart/2005/8/layout/hierarchy2"/>
    <dgm:cxn modelId="{CA7E16CD-29FA-49E2-B09A-8ED7798DBE58}" srcId="{665760C5-3CBC-4F76-A37F-A350670F9E1E}" destId="{ECCC1D88-7B48-4E8D-833F-DE9E0405E3E5}" srcOrd="0" destOrd="0" parTransId="{03577792-7AF5-442D-B4D7-369D691330A1}" sibTransId="{07E2CAFB-64EC-4DFB-BDE0-4DFFC44EDCBD}"/>
    <dgm:cxn modelId="{B419FF2D-DE1B-4D30-8277-466FC8906CA3}" type="presOf" srcId="{17E5AA94-FFE6-407A-8CDD-C67753FBF409}" destId="{439B56A8-576C-46FA-977A-93FB6C7B2105}" srcOrd="0" destOrd="0" presId="urn:microsoft.com/office/officeart/2005/8/layout/hierarchy2"/>
    <dgm:cxn modelId="{F2D66986-F4C1-4DD5-81F4-767F8BD34C26}" srcId="{88B4DECE-0B93-4AC6-901B-8C16DE0DA9AA}" destId="{40A515C1-351E-471F-AB41-A3A1BD77C186}" srcOrd="0" destOrd="0" parTransId="{2710C0E9-CB19-4B12-9C20-AC41D80C2019}" sibTransId="{B4261D50-B6B0-4686-B2D4-4C391CA7EE6B}"/>
    <dgm:cxn modelId="{E86E71F7-735A-4472-9064-3F3D46F0CE94}" type="presOf" srcId="{2710C0E9-CB19-4B12-9C20-AC41D80C2019}" destId="{DD1A0724-8FCF-4340-AB80-F872DA922FD6}" srcOrd="0" destOrd="0" presId="urn:microsoft.com/office/officeart/2005/8/layout/hierarchy2"/>
    <dgm:cxn modelId="{073B0BBA-C643-4838-B61C-C29EBE3C07B8}" type="presOf" srcId="{88B4DECE-0B93-4AC6-901B-8C16DE0DA9AA}" destId="{E05222A6-6BB3-4FB0-89D1-1C58D307F371}" srcOrd="0" destOrd="0" presId="urn:microsoft.com/office/officeart/2005/8/layout/hierarchy2"/>
    <dgm:cxn modelId="{941218FA-0747-4BF2-A12B-92AC06B294AA}" type="presOf" srcId="{D360778E-16A8-412B-A888-2BE966183369}" destId="{37AD653A-D18B-4C97-AD33-03E77AC5FC9B}" srcOrd="1" destOrd="0" presId="urn:microsoft.com/office/officeart/2005/8/layout/hierarchy2"/>
    <dgm:cxn modelId="{B363BFCB-4511-4289-B903-947585D2852C}" type="presOf" srcId="{ECCC1D88-7B48-4E8D-833F-DE9E0405E3E5}" destId="{CF4BC1EB-2131-4A07-BA87-D19BBC0DD925}" srcOrd="0" destOrd="0" presId="urn:microsoft.com/office/officeart/2005/8/layout/hierarchy2"/>
    <dgm:cxn modelId="{2EF97A33-71BD-4AE3-B699-52DB28BAF2EA}" srcId="{CEDECF63-E7D9-490E-AFCF-EA486C4F3168}" destId="{88B4DECE-0B93-4AC6-901B-8C16DE0DA9AA}" srcOrd="3" destOrd="0" parTransId="{645AA5A7-CEB6-4C12-A7A0-AE3E294C04B9}" sibTransId="{942E2A48-53EE-46AE-8855-E8C5E36F225F}"/>
    <dgm:cxn modelId="{A5F737DE-EF3F-4D4F-977D-8A9420629FC4}" type="presOf" srcId="{685CAD7B-6834-41E1-B98A-48A80C57A840}" destId="{6F527327-DF61-4540-AB81-1DCFF7775473}" srcOrd="0" destOrd="0" presId="urn:microsoft.com/office/officeart/2005/8/layout/hierarchy2"/>
    <dgm:cxn modelId="{C160823C-E3C1-4170-AF62-A60F70F8E713}" type="presOf" srcId="{2A785870-1D62-43A8-8834-820ACC26160E}" destId="{BD42A79B-7D0A-4655-A1AE-383BDD83048D}" srcOrd="0" destOrd="0" presId="urn:microsoft.com/office/officeart/2005/8/layout/hierarchy2"/>
    <dgm:cxn modelId="{C838B27E-7C38-4769-97B3-877C0D1DD174}" srcId="{CEDECF63-E7D9-490E-AFCF-EA486C4F3168}" destId="{665760C5-3CBC-4F76-A37F-A350670F9E1E}" srcOrd="2" destOrd="0" parTransId="{697D6364-9F1A-4D8B-9D01-4852E6EACFE2}" sibTransId="{8074DDFD-F524-4908-87C7-3D77491E310E}"/>
    <dgm:cxn modelId="{46ADFCF6-54FA-4FF3-8939-7ED685A2390C}" type="presOf" srcId="{D4A3383C-EB84-4580-8E3A-24918C3BB405}" destId="{ED4FFF35-4085-418E-9ADE-084A4599B411}" srcOrd="1" destOrd="0" presId="urn:microsoft.com/office/officeart/2005/8/layout/hierarchy2"/>
    <dgm:cxn modelId="{AF75C722-BD7A-45A0-887B-F691D3629193}" type="presOf" srcId="{645AA5A7-CEB6-4C12-A7A0-AE3E294C04B9}" destId="{D8248EF5-6278-45A5-898F-09A10308845C}" srcOrd="1" destOrd="0" presId="urn:microsoft.com/office/officeart/2005/8/layout/hierarchy2"/>
    <dgm:cxn modelId="{F8788E2E-7256-401C-B601-9CD8521CAA4D}" type="presOf" srcId="{D4A3383C-EB84-4580-8E3A-24918C3BB405}" destId="{1E642933-314F-490E-8B04-4D4B5974861A}" srcOrd="0" destOrd="0" presId="urn:microsoft.com/office/officeart/2005/8/layout/hierarchy2"/>
    <dgm:cxn modelId="{8A82A5B0-1D1A-4C21-874B-DA7231EA9B59}" type="presOf" srcId="{B21F2F34-6670-4F11-9108-65F12262072B}" destId="{04C63C78-1048-40DD-9E8E-44A58320C1F8}" srcOrd="0" destOrd="0" presId="urn:microsoft.com/office/officeart/2005/8/layout/hierarchy2"/>
    <dgm:cxn modelId="{7A454596-5878-485D-937C-4E04ED136F0E}" type="presOf" srcId="{2A785870-1D62-43A8-8834-820ACC26160E}" destId="{282E989E-006E-4612-81A1-A2A6BBDF2FE4}" srcOrd="1" destOrd="0" presId="urn:microsoft.com/office/officeart/2005/8/layout/hierarchy2"/>
    <dgm:cxn modelId="{730827DA-B738-4513-BE60-022292DFA66E}" type="presOf" srcId="{55407976-C8EA-4422-A19F-5803C6A62784}" destId="{A611B3AA-2F27-4C0C-AC3A-EE087B8B9472}" srcOrd="1" destOrd="0" presId="urn:microsoft.com/office/officeart/2005/8/layout/hierarchy2"/>
    <dgm:cxn modelId="{E65BDF47-F396-49B1-ADA8-0764853C0379}" srcId="{665760C5-3CBC-4F76-A37F-A350670F9E1E}" destId="{971AF37E-E364-4D8C-B1E0-E66A3091EE37}" srcOrd="1" destOrd="0" parTransId="{D5AC543C-FCAE-4AC7-A4D7-4AFE698A8C31}" sibTransId="{C92EE5B1-20D7-4D72-ADFA-A419533AF52C}"/>
    <dgm:cxn modelId="{8E5756B3-DCDD-4E9A-82A0-3133333EAD9C}" type="presOf" srcId="{56A6E108-7C9A-4D44-8542-EBDA204748AE}" destId="{EB0FACC9-D44E-4505-A2E8-1AF0D7C8D3DD}" srcOrd="0" destOrd="0" presId="urn:microsoft.com/office/officeart/2005/8/layout/hierarchy2"/>
    <dgm:cxn modelId="{0DC191B4-7C15-45B0-BEC8-D3E3AA233F72}" type="presOf" srcId="{697D6364-9F1A-4D8B-9D01-4852E6EACFE2}" destId="{DEF47897-F7A8-42A6-9395-09EF925CCD72}" srcOrd="1" destOrd="0" presId="urn:microsoft.com/office/officeart/2005/8/layout/hierarchy2"/>
    <dgm:cxn modelId="{48F0B256-8EFE-48ED-B60F-D0AA00B880B8}" type="presOf" srcId="{31B4F6A2-EEF3-4351-84BF-7AB8087B07C7}" destId="{4703B34B-7462-4999-9A6B-64AE3735FD53}" srcOrd="1" destOrd="0" presId="urn:microsoft.com/office/officeart/2005/8/layout/hierarchy2"/>
    <dgm:cxn modelId="{DA35DED6-7340-473C-9A21-E5E647F9F667}" type="presOf" srcId="{F84D706A-6D5F-469D-98F6-C18E3AC385E9}" destId="{4A91AAF3-0B6C-4E2E-952C-31F3D0BD34CA}" srcOrd="0" destOrd="0" presId="urn:microsoft.com/office/officeart/2005/8/layout/hierarchy2"/>
    <dgm:cxn modelId="{BC1CB0DD-3BA7-4D4F-96B8-C2AF396A1287}" type="presOf" srcId="{A36AC118-6F34-462E-A794-F15B4D529033}" destId="{A57D100F-F44F-40CF-A0C5-1C10B35BB197}" srcOrd="0" destOrd="0" presId="urn:microsoft.com/office/officeart/2005/8/layout/hierarchy2"/>
    <dgm:cxn modelId="{256416F2-496B-4AD2-8D50-A0A2AA204301}" srcId="{CEDECF63-E7D9-490E-AFCF-EA486C4F3168}" destId="{871DC585-E650-4FAA-A72B-1ED6E947DE7D}" srcOrd="1" destOrd="0" parTransId="{B2530026-3E1F-4678-B85A-F416589A3E14}" sibTransId="{8B727FA7-907E-40BC-BDB6-39F687283D5B}"/>
    <dgm:cxn modelId="{CE91B79C-DAFF-404B-B5CD-F2FC2EF40D8B}" type="presOf" srcId="{665760C5-3CBC-4F76-A37F-A350670F9E1E}" destId="{B624EF8E-4AF4-414A-B735-E6AFA8453033}" srcOrd="0" destOrd="0" presId="urn:microsoft.com/office/officeart/2005/8/layout/hierarchy2"/>
    <dgm:cxn modelId="{B3551D4A-7716-4E6C-9BE7-6DEC94AE200C}" type="presOf" srcId="{03577792-7AF5-442D-B4D7-369D691330A1}" destId="{8065B585-2ACE-4ABE-AE44-B2755114C3CF}" srcOrd="0" destOrd="0" presId="urn:microsoft.com/office/officeart/2005/8/layout/hierarchy2"/>
    <dgm:cxn modelId="{0FE5EFFB-DDA4-4EDB-A5FA-15B496E1E571}" type="presOf" srcId="{971AF37E-E364-4D8C-B1E0-E66A3091EE37}" destId="{351E61A5-6009-4CD4-98F0-A836601480D5}" srcOrd="0" destOrd="0" presId="urn:microsoft.com/office/officeart/2005/8/layout/hierarchy2"/>
    <dgm:cxn modelId="{065F60D6-3954-4B22-8D4A-598CC1286AFA}" type="presOf" srcId="{55407976-C8EA-4422-A19F-5803C6A62784}" destId="{CF54DBF9-193C-42DF-8E52-FD8AB384B02F}" srcOrd="0" destOrd="0" presId="urn:microsoft.com/office/officeart/2005/8/layout/hierarchy2"/>
    <dgm:cxn modelId="{244CCABC-475A-45F4-9B4A-0570B5FBDA2E}" type="presOf" srcId="{B2530026-3E1F-4678-B85A-F416589A3E14}" destId="{5C87E654-6B30-409E-8D12-6D32A3AB967E}" srcOrd="1" destOrd="0" presId="urn:microsoft.com/office/officeart/2005/8/layout/hierarchy2"/>
    <dgm:cxn modelId="{9390D8BC-A254-4500-8F0F-2B105721ED63}" type="presOf" srcId="{CAC8BFC1-E7AB-407F-806A-30B16F743DEB}" destId="{8EB93ACA-8778-410B-ACE7-DEEE1E91A71D}" srcOrd="0" destOrd="0" presId="urn:microsoft.com/office/officeart/2005/8/layout/hierarchy2"/>
    <dgm:cxn modelId="{BAB2C900-6EE7-435C-B8DD-08804C19568A}" type="presOf" srcId="{D360778E-16A8-412B-A888-2BE966183369}" destId="{E9D8DF3E-66DC-4982-BE1E-645A29299E68}" srcOrd="0" destOrd="0" presId="urn:microsoft.com/office/officeart/2005/8/layout/hierarchy2"/>
    <dgm:cxn modelId="{D3EE64FE-B7F7-4006-A7CD-B8E9D87C2C9A}" type="presOf" srcId="{146ECCEE-2A3A-4C12-AB74-DC76B07D8F39}" destId="{FB52ADF8-143C-4538-A0AA-592F4CA6A59F}" srcOrd="0" destOrd="0" presId="urn:microsoft.com/office/officeart/2005/8/layout/hierarchy2"/>
    <dgm:cxn modelId="{7574F9DD-2A0A-48E5-A058-F4E5D04DE074}" srcId="{871DC585-E650-4FAA-A72B-1ED6E947DE7D}" destId="{B21F2F34-6670-4F11-9108-65F12262072B}" srcOrd="0" destOrd="0" parTransId="{31B4F6A2-EEF3-4351-84BF-7AB8087B07C7}" sibTransId="{A96912F1-A034-426A-AA70-02F66D98C4DC}"/>
    <dgm:cxn modelId="{86A062BF-9F06-4D1A-904F-028D35367996}" type="presOf" srcId="{22790B01-DB62-4D7F-9834-829488309752}" destId="{5EC2653D-A813-4AAB-8164-9F676D83D4E0}" srcOrd="0" destOrd="0" presId="urn:microsoft.com/office/officeart/2005/8/layout/hierarchy2"/>
    <dgm:cxn modelId="{055E3C92-53B9-4283-94C7-A8AFF3F077DA}" type="presOf" srcId="{CEDECF63-E7D9-490E-AFCF-EA486C4F3168}" destId="{2F0A1961-8F1E-447C-8AFC-7E994FD685C4}" srcOrd="0" destOrd="0" presId="urn:microsoft.com/office/officeart/2005/8/layout/hierarchy2"/>
    <dgm:cxn modelId="{3C9B0629-2618-41D0-BFD0-B93D50CD5DB0}" srcId="{146ECCEE-2A3A-4C12-AB74-DC76B07D8F39}" destId="{A36AC118-6F34-462E-A794-F15B4D529033}" srcOrd="1" destOrd="0" parTransId="{D4A3383C-EB84-4580-8E3A-24918C3BB405}" sibTransId="{4DFC71D2-0D5F-4071-AE2B-410254649340}"/>
    <dgm:cxn modelId="{20E3B265-4629-41F9-B38B-4317977979E5}" type="presOf" srcId="{4ABDF386-0E9F-49DA-AF50-2CE5796580F7}" destId="{EFE04743-7767-4DAD-A676-5662F2589679}" srcOrd="1" destOrd="0" presId="urn:microsoft.com/office/officeart/2005/8/layout/hierarchy2"/>
    <dgm:cxn modelId="{C9BE15C6-CEDE-41D8-92C8-AE54538CEDAD}" srcId="{56A6E108-7C9A-4D44-8542-EBDA204748AE}" destId="{CEDECF63-E7D9-490E-AFCF-EA486C4F3168}" srcOrd="0" destOrd="0" parTransId="{9269175D-FCA6-4F11-AAFB-3C2753DB497C}" sibTransId="{9FBC84A2-AC0C-4B85-80B6-F13D6D934C82}"/>
    <dgm:cxn modelId="{D77996A0-51D6-4233-A882-106CDC19FF2F}" type="presOf" srcId="{871DC585-E650-4FAA-A72B-1ED6E947DE7D}" destId="{C5B37481-04EC-4A55-8E26-CBA676AFBCFF}" srcOrd="0" destOrd="0" presId="urn:microsoft.com/office/officeart/2005/8/layout/hierarchy2"/>
    <dgm:cxn modelId="{DDD0981A-484B-42A1-8839-01DBD055D175}" type="presOf" srcId="{B2530026-3E1F-4678-B85A-F416589A3E14}" destId="{26ABE1FB-DADD-4DE0-BDD0-72A2CA712F78}" srcOrd="0" destOrd="0" presId="urn:microsoft.com/office/officeart/2005/8/layout/hierarchy2"/>
    <dgm:cxn modelId="{3DBAE68D-26A7-4AA4-BA00-5AF6B86F43E2}" type="presParOf" srcId="{EB0FACC9-D44E-4505-A2E8-1AF0D7C8D3DD}" destId="{521962D4-BE94-4257-BEDE-623CA763E7DF}" srcOrd="0" destOrd="0" presId="urn:microsoft.com/office/officeart/2005/8/layout/hierarchy2"/>
    <dgm:cxn modelId="{03B88E1A-AB88-41E1-A631-76A71201282F}" type="presParOf" srcId="{521962D4-BE94-4257-BEDE-623CA763E7DF}" destId="{2F0A1961-8F1E-447C-8AFC-7E994FD685C4}" srcOrd="0" destOrd="0" presId="urn:microsoft.com/office/officeart/2005/8/layout/hierarchy2"/>
    <dgm:cxn modelId="{015D6E08-8FFC-4476-A670-E0742509F38C}" type="presParOf" srcId="{521962D4-BE94-4257-BEDE-623CA763E7DF}" destId="{4A8FB4A6-D37C-4EF0-BEA9-BEDD4A3157C7}" srcOrd="1" destOrd="0" presId="urn:microsoft.com/office/officeart/2005/8/layout/hierarchy2"/>
    <dgm:cxn modelId="{DFE5F621-8D76-42F7-B839-F042FDB7B4C7}" type="presParOf" srcId="{4A8FB4A6-D37C-4EF0-BEA9-BEDD4A3157C7}" destId="{B6FF003F-A00C-4422-B62B-6465EA2AD309}" srcOrd="0" destOrd="0" presId="urn:microsoft.com/office/officeart/2005/8/layout/hierarchy2"/>
    <dgm:cxn modelId="{C5038AEF-BB39-4D9B-9F73-4287CADEFE4F}" type="presParOf" srcId="{B6FF003F-A00C-4422-B62B-6465EA2AD309}" destId="{EFE04743-7767-4DAD-A676-5662F2589679}" srcOrd="0" destOrd="0" presId="urn:microsoft.com/office/officeart/2005/8/layout/hierarchy2"/>
    <dgm:cxn modelId="{3D48159C-D80E-43A7-A3CB-171BE30C77EC}" type="presParOf" srcId="{4A8FB4A6-D37C-4EF0-BEA9-BEDD4A3157C7}" destId="{D8EE2B20-1DD9-4659-8D0E-8D233D74EAB3}" srcOrd="1" destOrd="0" presId="urn:microsoft.com/office/officeart/2005/8/layout/hierarchy2"/>
    <dgm:cxn modelId="{5FDE6624-50F4-4572-9D11-7E5017005F72}" type="presParOf" srcId="{D8EE2B20-1DD9-4659-8D0E-8D233D74EAB3}" destId="{FB52ADF8-143C-4538-A0AA-592F4CA6A59F}" srcOrd="0" destOrd="0" presId="urn:microsoft.com/office/officeart/2005/8/layout/hierarchy2"/>
    <dgm:cxn modelId="{7445D27A-3C0F-4FBC-8E71-353C0CD1A727}" type="presParOf" srcId="{D8EE2B20-1DD9-4659-8D0E-8D233D74EAB3}" destId="{D7E4E4C3-0EE5-4840-B604-26272E5A447F}" srcOrd="1" destOrd="0" presId="urn:microsoft.com/office/officeart/2005/8/layout/hierarchy2"/>
    <dgm:cxn modelId="{D178081E-6A02-4AC0-930F-760E1069368B}" type="presParOf" srcId="{D7E4E4C3-0EE5-4840-B604-26272E5A447F}" destId="{6F527327-DF61-4540-AB81-1DCFF7775473}" srcOrd="0" destOrd="0" presId="urn:microsoft.com/office/officeart/2005/8/layout/hierarchy2"/>
    <dgm:cxn modelId="{59110593-B907-4130-8B45-62369F28CFFA}" type="presParOf" srcId="{6F527327-DF61-4540-AB81-1DCFF7775473}" destId="{447051D6-F8C7-4662-B747-6913BB2483E3}" srcOrd="0" destOrd="0" presId="urn:microsoft.com/office/officeart/2005/8/layout/hierarchy2"/>
    <dgm:cxn modelId="{235B69E3-08EF-49E9-A362-63CDB7AB615E}" type="presParOf" srcId="{D7E4E4C3-0EE5-4840-B604-26272E5A447F}" destId="{9CFFF022-7534-48D7-979B-3655FA8CA594}" srcOrd="1" destOrd="0" presId="urn:microsoft.com/office/officeart/2005/8/layout/hierarchy2"/>
    <dgm:cxn modelId="{E4AB7DC2-06F6-4A91-90DC-852935455A32}" type="presParOf" srcId="{9CFFF022-7534-48D7-979B-3655FA8CA594}" destId="{5EC2653D-A813-4AAB-8164-9F676D83D4E0}" srcOrd="0" destOrd="0" presId="urn:microsoft.com/office/officeart/2005/8/layout/hierarchy2"/>
    <dgm:cxn modelId="{C360CDE0-C13A-46D4-A60D-331FEF1619CA}" type="presParOf" srcId="{9CFFF022-7534-48D7-979B-3655FA8CA594}" destId="{F1C01A38-7360-44DD-AC6F-0A8482564598}" srcOrd="1" destOrd="0" presId="urn:microsoft.com/office/officeart/2005/8/layout/hierarchy2"/>
    <dgm:cxn modelId="{CCF038F3-8D35-4655-9094-EC64ABC33BE7}" type="presParOf" srcId="{D7E4E4C3-0EE5-4840-B604-26272E5A447F}" destId="{1E642933-314F-490E-8B04-4D4B5974861A}" srcOrd="2" destOrd="0" presId="urn:microsoft.com/office/officeart/2005/8/layout/hierarchy2"/>
    <dgm:cxn modelId="{44231026-E211-4859-8424-87640F961062}" type="presParOf" srcId="{1E642933-314F-490E-8B04-4D4B5974861A}" destId="{ED4FFF35-4085-418E-9ADE-084A4599B411}" srcOrd="0" destOrd="0" presId="urn:microsoft.com/office/officeart/2005/8/layout/hierarchy2"/>
    <dgm:cxn modelId="{6497E81F-3C18-4863-8C19-CEA55F5C3074}" type="presParOf" srcId="{D7E4E4C3-0EE5-4840-B604-26272E5A447F}" destId="{6680B3D5-5F03-4202-95E1-B2740F7EC1A3}" srcOrd="3" destOrd="0" presId="urn:microsoft.com/office/officeart/2005/8/layout/hierarchy2"/>
    <dgm:cxn modelId="{A00DF844-86A4-4236-B3AB-6EAFF625F44D}" type="presParOf" srcId="{6680B3D5-5F03-4202-95E1-B2740F7EC1A3}" destId="{A57D100F-F44F-40CF-A0C5-1C10B35BB197}" srcOrd="0" destOrd="0" presId="urn:microsoft.com/office/officeart/2005/8/layout/hierarchy2"/>
    <dgm:cxn modelId="{F1C1DC50-DF8F-41CE-86BC-74376AA60B83}" type="presParOf" srcId="{6680B3D5-5F03-4202-95E1-B2740F7EC1A3}" destId="{A6F154DF-8695-4DFA-8971-D69726E2AD8A}" srcOrd="1" destOrd="0" presId="urn:microsoft.com/office/officeart/2005/8/layout/hierarchy2"/>
    <dgm:cxn modelId="{86DF8062-3C87-4563-A92F-8A23EBBDF1AA}" type="presParOf" srcId="{D7E4E4C3-0EE5-4840-B604-26272E5A447F}" destId="{E9D8DF3E-66DC-4982-BE1E-645A29299E68}" srcOrd="4" destOrd="0" presId="urn:microsoft.com/office/officeart/2005/8/layout/hierarchy2"/>
    <dgm:cxn modelId="{3AC34A63-73B2-4CCD-971C-C754686AB65E}" type="presParOf" srcId="{E9D8DF3E-66DC-4982-BE1E-645A29299E68}" destId="{37AD653A-D18B-4C97-AD33-03E77AC5FC9B}" srcOrd="0" destOrd="0" presId="urn:microsoft.com/office/officeart/2005/8/layout/hierarchy2"/>
    <dgm:cxn modelId="{E743D2BD-2A9F-4CDA-BF65-7980CF8F7E98}" type="presParOf" srcId="{D7E4E4C3-0EE5-4840-B604-26272E5A447F}" destId="{7839F75D-A25C-46D5-B521-3637701A85EA}" srcOrd="5" destOrd="0" presId="urn:microsoft.com/office/officeart/2005/8/layout/hierarchy2"/>
    <dgm:cxn modelId="{AF1416C9-14FA-4609-9792-83BC303689B4}" type="presParOf" srcId="{7839F75D-A25C-46D5-B521-3637701A85EA}" destId="{439B56A8-576C-46FA-977A-93FB6C7B2105}" srcOrd="0" destOrd="0" presId="urn:microsoft.com/office/officeart/2005/8/layout/hierarchy2"/>
    <dgm:cxn modelId="{D9A83397-165A-40A5-80B4-605A9D9099AB}" type="presParOf" srcId="{7839F75D-A25C-46D5-B521-3637701A85EA}" destId="{5F732A06-398C-43FF-BA24-0957A7AACB8C}" srcOrd="1" destOrd="0" presId="urn:microsoft.com/office/officeart/2005/8/layout/hierarchy2"/>
    <dgm:cxn modelId="{871D8D1C-A869-4B98-860B-71067DB1EB6A}" type="presParOf" srcId="{4A8FB4A6-D37C-4EF0-BEA9-BEDD4A3157C7}" destId="{26ABE1FB-DADD-4DE0-BDD0-72A2CA712F78}" srcOrd="2" destOrd="0" presId="urn:microsoft.com/office/officeart/2005/8/layout/hierarchy2"/>
    <dgm:cxn modelId="{4039ED71-F9FE-4A94-92AB-D005E0F82AE1}" type="presParOf" srcId="{26ABE1FB-DADD-4DE0-BDD0-72A2CA712F78}" destId="{5C87E654-6B30-409E-8D12-6D32A3AB967E}" srcOrd="0" destOrd="0" presId="urn:microsoft.com/office/officeart/2005/8/layout/hierarchy2"/>
    <dgm:cxn modelId="{9D5E8EA9-4B0B-4CCC-ADD3-618DCC849620}" type="presParOf" srcId="{4A8FB4A6-D37C-4EF0-BEA9-BEDD4A3157C7}" destId="{E5358251-21E1-4757-A0DD-EAE67C01A5F8}" srcOrd="3" destOrd="0" presId="urn:microsoft.com/office/officeart/2005/8/layout/hierarchy2"/>
    <dgm:cxn modelId="{BE358E82-A8F2-44A5-A418-5466FDAD2ABC}" type="presParOf" srcId="{E5358251-21E1-4757-A0DD-EAE67C01A5F8}" destId="{C5B37481-04EC-4A55-8E26-CBA676AFBCFF}" srcOrd="0" destOrd="0" presId="urn:microsoft.com/office/officeart/2005/8/layout/hierarchy2"/>
    <dgm:cxn modelId="{7A4412B5-8D79-4E1E-8BFF-80BCAE0B9B5D}" type="presParOf" srcId="{E5358251-21E1-4757-A0DD-EAE67C01A5F8}" destId="{ADD16AFA-849C-422F-930E-62C6EB7321D1}" srcOrd="1" destOrd="0" presId="urn:microsoft.com/office/officeart/2005/8/layout/hierarchy2"/>
    <dgm:cxn modelId="{63483511-1F09-4179-B2F9-88677DC57871}" type="presParOf" srcId="{ADD16AFA-849C-422F-930E-62C6EB7321D1}" destId="{3A6ED110-8BC2-40E6-9B11-2AD08CF00EA4}" srcOrd="0" destOrd="0" presId="urn:microsoft.com/office/officeart/2005/8/layout/hierarchy2"/>
    <dgm:cxn modelId="{3224987A-4F12-48AF-87EA-E421E6068A91}" type="presParOf" srcId="{3A6ED110-8BC2-40E6-9B11-2AD08CF00EA4}" destId="{4703B34B-7462-4999-9A6B-64AE3735FD53}" srcOrd="0" destOrd="0" presId="urn:microsoft.com/office/officeart/2005/8/layout/hierarchy2"/>
    <dgm:cxn modelId="{5881C7AE-C0E7-4C19-9B8A-94CF47B5902E}" type="presParOf" srcId="{ADD16AFA-849C-422F-930E-62C6EB7321D1}" destId="{32C9BE24-2ECB-4400-96E8-E9EC089849DC}" srcOrd="1" destOrd="0" presId="urn:microsoft.com/office/officeart/2005/8/layout/hierarchy2"/>
    <dgm:cxn modelId="{DC0A83BF-B797-4318-B9B1-53002672AF2F}" type="presParOf" srcId="{32C9BE24-2ECB-4400-96E8-E9EC089849DC}" destId="{04C63C78-1048-40DD-9E8E-44A58320C1F8}" srcOrd="0" destOrd="0" presId="urn:microsoft.com/office/officeart/2005/8/layout/hierarchy2"/>
    <dgm:cxn modelId="{DA0F7C26-2189-4D25-B9CF-6B0553BEE7DE}" type="presParOf" srcId="{32C9BE24-2ECB-4400-96E8-E9EC089849DC}" destId="{8DB6EBAD-B02C-4D68-89D8-200C3741E555}" srcOrd="1" destOrd="0" presId="urn:microsoft.com/office/officeart/2005/8/layout/hierarchy2"/>
    <dgm:cxn modelId="{AA697026-F25D-4E91-AE9B-DD3317F6A6B5}" type="presParOf" srcId="{ADD16AFA-849C-422F-930E-62C6EB7321D1}" destId="{CF54DBF9-193C-42DF-8E52-FD8AB384B02F}" srcOrd="2" destOrd="0" presId="urn:microsoft.com/office/officeart/2005/8/layout/hierarchy2"/>
    <dgm:cxn modelId="{A3FA2B01-F2BB-44F1-AE61-859DAE09D5C1}" type="presParOf" srcId="{CF54DBF9-193C-42DF-8E52-FD8AB384B02F}" destId="{A611B3AA-2F27-4C0C-AC3A-EE087B8B9472}" srcOrd="0" destOrd="0" presId="urn:microsoft.com/office/officeart/2005/8/layout/hierarchy2"/>
    <dgm:cxn modelId="{40242983-5E78-468A-8466-CAB2C6BFB41A}" type="presParOf" srcId="{ADD16AFA-849C-422F-930E-62C6EB7321D1}" destId="{5739809E-0C86-480D-933A-0AB8F564FE1B}" srcOrd="3" destOrd="0" presId="urn:microsoft.com/office/officeart/2005/8/layout/hierarchy2"/>
    <dgm:cxn modelId="{4FD882BC-5112-43E9-A6B7-0C41F405D55C}" type="presParOf" srcId="{5739809E-0C86-480D-933A-0AB8F564FE1B}" destId="{8EB93ACA-8778-410B-ACE7-DEEE1E91A71D}" srcOrd="0" destOrd="0" presId="urn:microsoft.com/office/officeart/2005/8/layout/hierarchy2"/>
    <dgm:cxn modelId="{BFA45DBC-27A8-4C96-BACB-5CC4EB46AB7E}" type="presParOf" srcId="{5739809E-0C86-480D-933A-0AB8F564FE1B}" destId="{7AB55B4B-C101-455B-8D5C-1335D8DF518F}" srcOrd="1" destOrd="0" presId="urn:microsoft.com/office/officeart/2005/8/layout/hierarchy2"/>
    <dgm:cxn modelId="{EE00626B-B801-4D31-A9DB-84C34C3851D7}" type="presParOf" srcId="{4A8FB4A6-D37C-4EF0-BEA9-BEDD4A3157C7}" destId="{17ADD37B-3517-4349-BFBA-C3A03D90125F}" srcOrd="4" destOrd="0" presId="urn:microsoft.com/office/officeart/2005/8/layout/hierarchy2"/>
    <dgm:cxn modelId="{4BFB9A1E-EBAC-4643-8DA8-F064E37D022A}" type="presParOf" srcId="{17ADD37B-3517-4349-BFBA-C3A03D90125F}" destId="{DEF47897-F7A8-42A6-9395-09EF925CCD72}" srcOrd="0" destOrd="0" presId="urn:microsoft.com/office/officeart/2005/8/layout/hierarchy2"/>
    <dgm:cxn modelId="{72AE7978-1357-4537-A417-3522CAAC7C5C}" type="presParOf" srcId="{4A8FB4A6-D37C-4EF0-BEA9-BEDD4A3157C7}" destId="{C59778D1-EB7A-417A-A530-416B2953C64F}" srcOrd="5" destOrd="0" presId="urn:microsoft.com/office/officeart/2005/8/layout/hierarchy2"/>
    <dgm:cxn modelId="{1479F07F-2380-48CF-86F5-A6CCB6F8B040}" type="presParOf" srcId="{C59778D1-EB7A-417A-A530-416B2953C64F}" destId="{B624EF8E-4AF4-414A-B735-E6AFA8453033}" srcOrd="0" destOrd="0" presId="urn:microsoft.com/office/officeart/2005/8/layout/hierarchy2"/>
    <dgm:cxn modelId="{5C434FDD-80C7-4117-B9F3-00A1D7E62CEB}" type="presParOf" srcId="{C59778D1-EB7A-417A-A530-416B2953C64F}" destId="{2AE3E80F-C6AB-4160-999D-289D1890E39E}" srcOrd="1" destOrd="0" presId="urn:microsoft.com/office/officeart/2005/8/layout/hierarchy2"/>
    <dgm:cxn modelId="{A599F528-9FA7-4AA6-B65A-49152276C280}" type="presParOf" srcId="{2AE3E80F-C6AB-4160-999D-289D1890E39E}" destId="{8065B585-2ACE-4ABE-AE44-B2755114C3CF}" srcOrd="0" destOrd="0" presId="urn:microsoft.com/office/officeart/2005/8/layout/hierarchy2"/>
    <dgm:cxn modelId="{9D7857FF-995D-41BA-9E05-D72D94076AB7}" type="presParOf" srcId="{8065B585-2ACE-4ABE-AE44-B2755114C3CF}" destId="{0FCA4953-6C8F-4D37-92FE-23A43FBEF00A}" srcOrd="0" destOrd="0" presId="urn:microsoft.com/office/officeart/2005/8/layout/hierarchy2"/>
    <dgm:cxn modelId="{56E3AD97-F383-4C1D-AE57-673B35CF53DB}" type="presParOf" srcId="{2AE3E80F-C6AB-4160-999D-289D1890E39E}" destId="{6C8CD1A9-2EC4-47BA-88B9-C7DD07CB401A}" srcOrd="1" destOrd="0" presId="urn:microsoft.com/office/officeart/2005/8/layout/hierarchy2"/>
    <dgm:cxn modelId="{F348BD59-418E-4134-985F-F01295D0056E}" type="presParOf" srcId="{6C8CD1A9-2EC4-47BA-88B9-C7DD07CB401A}" destId="{CF4BC1EB-2131-4A07-BA87-D19BBC0DD925}" srcOrd="0" destOrd="0" presId="urn:microsoft.com/office/officeart/2005/8/layout/hierarchy2"/>
    <dgm:cxn modelId="{40639407-9929-4C2C-9D06-F1316656098C}" type="presParOf" srcId="{6C8CD1A9-2EC4-47BA-88B9-C7DD07CB401A}" destId="{217BF419-8C14-41CB-AE29-9E7F266F1F07}" srcOrd="1" destOrd="0" presId="urn:microsoft.com/office/officeart/2005/8/layout/hierarchy2"/>
    <dgm:cxn modelId="{1F465494-9134-41D4-BDBA-3E0C07AAD91B}" type="presParOf" srcId="{2AE3E80F-C6AB-4160-999D-289D1890E39E}" destId="{5907D415-A514-41B7-A559-C6D9D4990BE3}" srcOrd="2" destOrd="0" presId="urn:microsoft.com/office/officeart/2005/8/layout/hierarchy2"/>
    <dgm:cxn modelId="{CB43F216-822B-4F83-8C9E-FB1168207698}" type="presParOf" srcId="{5907D415-A514-41B7-A559-C6D9D4990BE3}" destId="{48C02CB6-8116-4527-A02D-2622F0BAF9B5}" srcOrd="0" destOrd="0" presId="urn:microsoft.com/office/officeart/2005/8/layout/hierarchy2"/>
    <dgm:cxn modelId="{E61E1103-EEE9-45CB-835F-2043D2D45A44}" type="presParOf" srcId="{2AE3E80F-C6AB-4160-999D-289D1890E39E}" destId="{8404C89D-FBA8-4CA5-881A-AC05B23C3DE6}" srcOrd="3" destOrd="0" presId="urn:microsoft.com/office/officeart/2005/8/layout/hierarchy2"/>
    <dgm:cxn modelId="{354593E2-5A64-4681-979D-9ECC5C6CA93B}" type="presParOf" srcId="{8404C89D-FBA8-4CA5-881A-AC05B23C3DE6}" destId="{351E61A5-6009-4CD4-98F0-A836601480D5}" srcOrd="0" destOrd="0" presId="urn:microsoft.com/office/officeart/2005/8/layout/hierarchy2"/>
    <dgm:cxn modelId="{CC97190D-CD00-4C43-A758-635E45430BCB}" type="presParOf" srcId="{8404C89D-FBA8-4CA5-881A-AC05B23C3DE6}" destId="{08628FBE-C343-490C-BA6E-8FD35F050A91}" srcOrd="1" destOrd="0" presId="urn:microsoft.com/office/officeart/2005/8/layout/hierarchy2"/>
    <dgm:cxn modelId="{D0537B70-0571-4FC8-87F5-E5AFFD5B62F6}" type="presParOf" srcId="{4A8FB4A6-D37C-4EF0-BEA9-BEDD4A3157C7}" destId="{CF9064E1-150C-4C05-BFB2-AAEEE0B6D5B3}" srcOrd="6" destOrd="0" presId="urn:microsoft.com/office/officeart/2005/8/layout/hierarchy2"/>
    <dgm:cxn modelId="{51091C91-8FA8-43E3-B662-56402D5384B1}" type="presParOf" srcId="{CF9064E1-150C-4C05-BFB2-AAEEE0B6D5B3}" destId="{D8248EF5-6278-45A5-898F-09A10308845C}" srcOrd="0" destOrd="0" presId="urn:microsoft.com/office/officeart/2005/8/layout/hierarchy2"/>
    <dgm:cxn modelId="{AD97E1D1-FFFF-4E93-A44E-E5CB49DAF6D2}" type="presParOf" srcId="{4A8FB4A6-D37C-4EF0-BEA9-BEDD4A3157C7}" destId="{F90817AB-6584-46E0-9184-B40AF27AFC86}" srcOrd="7" destOrd="0" presId="urn:microsoft.com/office/officeart/2005/8/layout/hierarchy2"/>
    <dgm:cxn modelId="{C66F32A0-F5EE-43DD-BC42-A9B59E05841D}" type="presParOf" srcId="{F90817AB-6584-46E0-9184-B40AF27AFC86}" destId="{E05222A6-6BB3-4FB0-89D1-1C58D307F371}" srcOrd="0" destOrd="0" presId="urn:microsoft.com/office/officeart/2005/8/layout/hierarchy2"/>
    <dgm:cxn modelId="{7ED3AB2E-99FE-4B23-9C25-0ACB99795814}" type="presParOf" srcId="{F90817AB-6584-46E0-9184-B40AF27AFC86}" destId="{3945CFB0-4770-40A0-B7A4-D42B4106DBBE}" srcOrd="1" destOrd="0" presId="urn:microsoft.com/office/officeart/2005/8/layout/hierarchy2"/>
    <dgm:cxn modelId="{78201BD9-E20E-4237-83E0-8BF12EACC04A}" type="presParOf" srcId="{3945CFB0-4770-40A0-B7A4-D42B4106DBBE}" destId="{DD1A0724-8FCF-4340-AB80-F872DA922FD6}" srcOrd="0" destOrd="0" presId="urn:microsoft.com/office/officeart/2005/8/layout/hierarchy2"/>
    <dgm:cxn modelId="{DF57B5DE-0F78-4F85-B539-2729817DDE4C}" type="presParOf" srcId="{DD1A0724-8FCF-4340-AB80-F872DA922FD6}" destId="{D41AE78F-D392-4B61-9A75-4D0B40B96198}" srcOrd="0" destOrd="0" presId="urn:microsoft.com/office/officeart/2005/8/layout/hierarchy2"/>
    <dgm:cxn modelId="{4A013F86-BE1D-4051-84B9-54E60CFA952D}" type="presParOf" srcId="{3945CFB0-4770-40A0-B7A4-D42B4106DBBE}" destId="{9F4C8C81-2A6C-4D6D-801D-84990B219C6F}" srcOrd="1" destOrd="0" presId="urn:microsoft.com/office/officeart/2005/8/layout/hierarchy2"/>
    <dgm:cxn modelId="{E6995F0E-EDB3-4FD2-9C44-7252FA05D835}" type="presParOf" srcId="{9F4C8C81-2A6C-4D6D-801D-84990B219C6F}" destId="{E59B8E8B-D3BF-4361-94C6-8D2BC906F1B7}" srcOrd="0" destOrd="0" presId="urn:microsoft.com/office/officeart/2005/8/layout/hierarchy2"/>
    <dgm:cxn modelId="{04E65A17-5FCB-487A-B4C2-36DAC9CA3496}" type="presParOf" srcId="{9F4C8C81-2A6C-4D6D-801D-84990B219C6F}" destId="{3A755288-5BB4-427D-A32E-6EEB802C2A9B}" srcOrd="1" destOrd="0" presId="urn:microsoft.com/office/officeart/2005/8/layout/hierarchy2"/>
    <dgm:cxn modelId="{4FF7AAF7-DB31-42FA-9178-0F674662C089}" type="presParOf" srcId="{3945CFB0-4770-40A0-B7A4-D42B4106DBBE}" destId="{BD42A79B-7D0A-4655-A1AE-383BDD83048D}" srcOrd="2" destOrd="0" presId="urn:microsoft.com/office/officeart/2005/8/layout/hierarchy2"/>
    <dgm:cxn modelId="{1414E1FC-1D07-43A1-A206-BEA148CF3831}" type="presParOf" srcId="{BD42A79B-7D0A-4655-A1AE-383BDD83048D}" destId="{282E989E-006E-4612-81A1-A2A6BBDF2FE4}" srcOrd="0" destOrd="0" presId="urn:microsoft.com/office/officeart/2005/8/layout/hierarchy2"/>
    <dgm:cxn modelId="{9825F9EF-2C8B-4EDF-B6D5-59D21D6A464B}" type="presParOf" srcId="{3945CFB0-4770-40A0-B7A4-D42B4106DBBE}" destId="{7D25956E-B14B-4BC9-86AD-323071673F21}" srcOrd="3" destOrd="0" presId="urn:microsoft.com/office/officeart/2005/8/layout/hierarchy2"/>
    <dgm:cxn modelId="{F9A9FB0B-E532-48CD-A328-FC0F917324E8}" type="presParOf" srcId="{7D25956E-B14B-4BC9-86AD-323071673F21}" destId="{4A91AAF3-0B6C-4E2E-952C-31F3D0BD34CA}" srcOrd="0" destOrd="0" presId="urn:microsoft.com/office/officeart/2005/8/layout/hierarchy2"/>
    <dgm:cxn modelId="{3E8AADD1-D053-4C09-8DD7-089EBEA07EE8}" type="presParOf" srcId="{7D25956E-B14B-4BC9-86AD-323071673F21}" destId="{582078FD-FDED-4019-87C7-181FA09702FC}" srcOrd="1" destOrd="0" presId="urn:microsoft.com/office/officeart/2005/8/layout/hierarchy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33ED9BB-C8EE-43F6-A0B4-972C67CE1807}">
      <dsp:nvSpPr>
        <dsp:cNvPr id="0" name=""/>
        <dsp:cNvSpPr/>
      </dsp:nvSpPr>
      <dsp:spPr>
        <a:xfrm>
          <a:off x="3048000" y="951104"/>
          <a:ext cx="2156482" cy="374265"/>
        </a:xfrm>
        <a:custGeom>
          <a:avLst/>
          <a:gdLst/>
          <a:ahLst/>
          <a:cxnLst/>
          <a:rect l="0" t="0" r="0" b="0"/>
          <a:pathLst>
            <a:path>
              <a:moveTo>
                <a:pt x="0" y="0"/>
              </a:moveTo>
              <a:lnTo>
                <a:pt x="0" y="187132"/>
              </a:lnTo>
              <a:lnTo>
                <a:pt x="2156482" y="187132"/>
              </a:lnTo>
              <a:lnTo>
                <a:pt x="2156482" y="374265"/>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339A67A2-9973-4E27-A20A-91939CABF5DC}">
      <dsp:nvSpPr>
        <dsp:cNvPr id="0" name=""/>
        <dsp:cNvSpPr/>
      </dsp:nvSpPr>
      <dsp:spPr>
        <a:xfrm>
          <a:off x="3002280" y="951104"/>
          <a:ext cx="91440" cy="374265"/>
        </a:xfrm>
        <a:custGeom>
          <a:avLst/>
          <a:gdLst/>
          <a:ahLst/>
          <a:cxnLst/>
          <a:rect l="0" t="0" r="0" b="0"/>
          <a:pathLst>
            <a:path>
              <a:moveTo>
                <a:pt x="45720" y="0"/>
              </a:moveTo>
              <a:lnTo>
                <a:pt x="45720" y="374265"/>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FD11B1A-3919-4F60-B913-EFB0B0EDE833}">
      <dsp:nvSpPr>
        <dsp:cNvPr id="0" name=""/>
        <dsp:cNvSpPr/>
      </dsp:nvSpPr>
      <dsp:spPr>
        <a:xfrm>
          <a:off x="891517" y="951104"/>
          <a:ext cx="2156482" cy="374265"/>
        </a:xfrm>
        <a:custGeom>
          <a:avLst/>
          <a:gdLst/>
          <a:ahLst/>
          <a:cxnLst/>
          <a:rect l="0" t="0" r="0" b="0"/>
          <a:pathLst>
            <a:path>
              <a:moveTo>
                <a:pt x="2156482" y="0"/>
              </a:moveTo>
              <a:lnTo>
                <a:pt x="2156482" y="187132"/>
              </a:lnTo>
              <a:lnTo>
                <a:pt x="0" y="187132"/>
              </a:lnTo>
              <a:lnTo>
                <a:pt x="0" y="374265"/>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5A238FEE-1536-4745-9C07-CAE10A5F28F4}">
      <dsp:nvSpPr>
        <dsp:cNvPr id="0" name=""/>
        <dsp:cNvSpPr/>
      </dsp:nvSpPr>
      <dsp:spPr>
        <a:xfrm>
          <a:off x="1939639" y="59996"/>
          <a:ext cx="2216721" cy="89110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Критерии классификации финансовых рисков </a:t>
          </a:r>
        </a:p>
      </dsp:txBody>
      <dsp:txXfrm>
        <a:off x="1939639" y="59996"/>
        <a:ext cx="2216721" cy="891108"/>
      </dsp:txXfrm>
    </dsp:sp>
    <dsp:sp modelId="{22A28066-6A83-4539-8C1D-AA327440DD71}">
      <dsp:nvSpPr>
        <dsp:cNvPr id="0" name=""/>
        <dsp:cNvSpPr/>
      </dsp:nvSpPr>
      <dsp:spPr>
        <a:xfrm>
          <a:off x="409" y="1325370"/>
          <a:ext cx="1782216" cy="89110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покупательской способностью денег </a:t>
          </a:r>
        </a:p>
      </dsp:txBody>
      <dsp:txXfrm>
        <a:off x="409" y="1325370"/>
        <a:ext cx="1782216" cy="891108"/>
      </dsp:txXfrm>
    </dsp:sp>
    <dsp:sp modelId="{D9791782-D7B0-4A43-94AA-CA2C31FC3C45}">
      <dsp:nvSpPr>
        <dsp:cNvPr id="0" name=""/>
        <dsp:cNvSpPr/>
      </dsp:nvSpPr>
      <dsp:spPr>
        <a:xfrm>
          <a:off x="2156891" y="1325370"/>
          <a:ext cx="1782216" cy="89110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вложением капитала </a:t>
          </a:r>
        </a:p>
      </dsp:txBody>
      <dsp:txXfrm>
        <a:off x="2156891" y="1325370"/>
        <a:ext cx="1782216" cy="891108"/>
      </dsp:txXfrm>
    </dsp:sp>
    <dsp:sp modelId="{BA0478FC-AEB1-4891-A165-82B6B6409702}">
      <dsp:nvSpPr>
        <dsp:cNvPr id="0" name=""/>
        <dsp:cNvSpPr/>
      </dsp:nvSpPr>
      <dsp:spPr>
        <a:xfrm>
          <a:off x="4313373" y="1325370"/>
          <a:ext cx="1782216" cy="89110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формой организации хозяйственной деятельности организации</a:t>
          </a:r>
        </a:p>
      </dsp:txBody>
      <dsp:txXfrm>
        <a:off x="4313373" y="1325370"/>
        <a:ext cx="1782216" cy="89110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F0A1961-8F1E-447C-8AFC-7E994FD685C4}">
      <dsp:nvSpPr>
        <dsp:cNvPr id="0" name=""/>
        <dsp:cNvSpPr/>
      </dsp:nvSpPr>
      <dsp:spPr>
        <a:xfrm>
          <a:off x="338813" y="1805708"/>
          <a:ext cx="1653436" cy="1177776"/>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Классификационный признак </a:t>
          </a:r>
        </a:p>
      </dsp:txBody>
      <dsp:txXfrm>
        <a:off x="373309" y="1840204"/>
        <a:ext cx="1584444" cy="1108784"/>
      </dsp:txXfrm>
    </dsp:sp>
    <dsp:sp modelId="{B6FF003F-A00C-4422-B62B-6465EA2AD309}">
      <dsp:nvSpPr>
        <dsp:cNvPr id="0" name=""/>
        <dsp:cNvSpPr/>
      </dsp:nvSpPr>
      <dsp:spPr>
        <a:xfrm rot="16924900">
          <a:off x="1321345" y="1556077"/>
          <a:ext cx="1697000" cy="17626"/>
        </a:xfrm>
        <a:custGeom>
          <a:avLst/>
          <a:gdLst/>
          <a:ahLst/>
          <a:cxnLst/>
          <a:rect l="0" t="0" r="0" b="0"/>
          <a:pathLst>
            <a:path>
              <a:moveTo>
                <a:pt x="0" y="8813"/>
              </a:moveTo>
              <a:lnTo>
                <a:pt x="1697000" y="8813"/>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127421" y="1522465"/>
        <a:ext cx="84850" cy="84850"/>
      </dsp:txXfrm>
    </dsp:sp>
    <dsp:sp modelId="{FB52ADF8-143C-4538-A0AA-592F4CA6A59F}">
      <dsp:nvSpPr>
        <dsp:cNvPr id="0" name=""/>
        <dsp:cNvSpPr/>
      </dsp:nvSpPr>
      <dsp:spPr>
        <a:xfrm>
          <a:off x="2347442" y="513189"/>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видам </a:t>
          </a:r>
        </a:p>
      </dsp:txBody>
      <dsp:txXfrm>
        <a:off x="2360446" y="526193"/>
        <a:ext cx="861972" cy="417982"/>
      </dsp:txXfrm>
    </dsp:sp>
    <dsp:sp modelId="{6F527327-DF61-4540-AB81-1DCFF7775473}">
      <dsp:nvSpPr>
        <dsp:cNvPr id="0" name=""/>
        <dsp:cNvSpPr/>
      </dsp:nvSpPr>
      <dsp:spPr>
        <a:xfrm rot="18289469">
          <a:off x="3102027" y="471076"/>
          <a:ext cx="621982" cy="17626"/>
        </a:xfrm>
        <a:custGeom>
          <a:avLst/>
          <a:gdLst/>
          <a:ahLst/>
          <a:cxnLst/>
          <a:rect l="0" t="0" r="0" b="0"/>
          <a:pathLst>
            <a:path>
              <a:moveTo>
                <a:pt x="0" y="8813"/>
              </a:moveTo>
              <a:lnTo>
                <a:pt x="621982"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397468" y="464340"/>
        <a:ext cx="31099" cy="31099"/>
      </dsp:txXfrm>
    </dsp:sp>
    <dsp:sp modelId="{5EC2653D-A813-4AAB-8164-9F676D83D4E0}">
      <dsp:nvSpPr>
        <dsp:cNvPr id="0" name=""/>
        <dsp:cNvSpPr/>
      </dsp:nvSpPr>
      <dsp:spPr>
        <a:xfrm>
          <a:off x="3590614" y="2600"/>
          <a:ext cx="2207846"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покупательской способностью денежных средств </a:t>
          </a:r>
        </a:p>
      </dsp:txBody>
      <dsp:txXfrm>
        <a:off x="3603618" y="15604"/>
        <a:ext cx="2181838" cy="417982"/>
      </dsp:txXfrm>
    </dsp:sp>
    <dsp:sp modelId="{1E642933-314F-490E-8B04-4D4B5974861A}">
      <dsp:nvSpPr>
        <dsp:cNvPr id="0" name=""/>
        <dsp:cNvSpPr/>
      </dsp:nvSpPr>
      <dsp:spPr>
        <a:xfrm>
          <a:off x="3235422" y="726370"/>
          <a:ext cx="355192" cy="17626"/>
        </a:xfrm>
        <a:custGeom>
          <a:avLst/>
          <a:gdLst/>
          <a:ahLst/>
          <a:cxnLst/>
          <a:rect l="0" t="0" r="0" b="0"/>
          <a:pathLst>
            <a:path>
              <a:moveTo>
                <a:pt x="0" y="8813"/>
              </a:moveTo>
              <a:lnTo>
                <a:pt x="355192"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4138" y="726304"/>
        <a:ext cx="17759" cy="17759"/>
      </dsp:txXfrm>
    </dsp:sp>
    <dsp:sp modelId="{A57D100F-F44F-40CF-A0C5-1C10B35BB197}">
      <dsp:nvSpPr>
        <dsp:cNvPr id="0" name=""/>
        <dsp:cNvSpPr/>
      </dsp:nvSpPr>
      <dsp:spPr>
        <a:xfrm>
          <a:off x="3590614" y="513189"/>
          <a:ext cx="203604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вложением капитала </a:t>
          </a:r>
        </a:p>
      </dsp:txBody>
      <dsp:txXfrm>
        <a:off x="3603618" y="526193"/>
        <a:ext cx="2010032" cy="417982"/>
      </dsp:txXfrm>
    </dsp:sp>
    <dsp:sp modelId="{E9D8DF3E-66DC-4982-BE1E-645A29299E68}">
      <dsp:nvSpPr>
        <dsp:cNvPr id="0" name=""/>
        <dsp:cNvSpPr/>
      </dsp:nvSpPr>
      <dsp:spPr>
        <a:xfrm rot="3310531">
          <a:off x="3102027" y="981665"/>
          <a:ext cx="621982" cy="17626"/>
        </a:xfrm>
        <a:custGeom>
          <a:avLst/>
          <a:gdLst/>
          <a:ahLst/>
          <a:cxnLst/>
          <a:rect l="0" t="0" r="0" b="0"/>
          <a:pathLst>
            <a:path>
              <a:moveTo>
                <a:pt x="0" y="8813"/>
              </a:moveTo>
              <a:lnTo>
                <a:pt x="621982"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397468" y="974929"/>
        <a:ext cx="31099" cy="31099"/>
      </dsp:txXfrm>
    </dsp:sp>
    <dsp:sp modelId="{439B56A8-576C-46FA-977A-93FB6C7B2105}">
      <dsp:nvSpPr>
        <dsp:cNvPr id="0" name=""/>
        <dsp:cNvSpPr/>
      </dsp:nvSpPr>
      <dsp:spPr>
        <a:xfrm>
          <a:off x="3590614" y="1023777"/>
          <a:ext cx="2193062"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риски, связанные с формой организации... </a:t>
          </a:r>
        </a:p>
      </dsp:txBody>
      <dsp:txXfrm>
        <a:off x="3603618" y="1036781"/>
        <a:ext cx="2167054" cy="417982"/>
      </dsp:txXfrm>
    </dsp:sp>
    <dsp:sp modelId="{26ABE1FB-DADD-4DE0-BDD0-72A2CA712F78}">
      <dsp:nvSpPr>
        <dsp:cNvPr id="0" name=""/>
        <dsp:cNvSpPr/>
      </dsp:nvSpPr>
      <dsp:spPr>
        <a:xfrm rot="18770822">
          <a:off x="1908692" y="2194313"/>
          <a:ext cx="522307" cy="17626"/>
        </a:xfrm>
        <a:custGeom>
          <a:avLst/>
          <a:gdLst/>
          <a:ahLst/>
          <a:cxnLst/>
          <a:rect l="0" t="0" r="0" b="0"/>
          <a:pathLst>
            <a:path>
              <a:moveTo>
                <a:pt x="0" y="8813"/>
              </a:moveTo>
              <a:lnTo>
                <a:pt x="522307" y="8813"/>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156788" y="2190068"/>
        <a:ext cx="26115" cy="26115"/>
      </dsp:txXfrm>
    </dsp:sp>
    <dsp:sp modelId="{C5B37481-04EC-4A55-8E26-CBA676AFBCFF}">
      <dsp:nvSpPr>
        <dsp:cNvPr id="0" name=""/>
        <dsp:cNvSpPr/>
      </dsp:nvSpPr>
      <dsp:spPr>
        <a:xfrm>
          <a:off x="2347442" y="1789660"/>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степени мобильности </a:t>
          </a:r>
        </a:p>
      </dsp:txBody>
      <dsp:txXfrm>
        <a:off x="2360446" y="1802664"/>
        <a:ext cx="861972" cy="417982"/>
      </dsp:txXfrm>
    </dsp:sp>
    <dsp:sp modelId="{3A6ED110-8BC2-40E6-9B11-2AD08CF00EA4}">
      <dsp:nvSpPr>
        <dsp:cNvPr id="0" name=""/>
        <dsp:cNvSpPr/>
      </dsp:nvSpPr>
      <dsp:spPr>
        <a:xfrm rot="19457599">
          <a:off x="3194308" y="1875195"/>
          <a:ext cx="437420" cy="17626"/>
        </a:xfrm>
        <a:custGeom>
          <a:avLst/>
          <a:gdLst/>
          <a:ahLst/>
          <a:cxnLst/>
          <a:rect l="0" t="0" r="0" b="0"/>
          <a:pathLst>
            <a:path>
              <a:moveTo>
                <a:pt x="0" y="8813"/>
              </a:moveTo>
              <a:lnTo>
                <a:pt x="437420"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2082" y="1873073"/>
        <a:ext cx="21871" cy="21871"/>
      </dsp:txXfrm>
    </dsp:sp>
    <dsp:sp modelId="{04C63C78-1048-40DD-9E8E-44A58320C1F8}">
      <dsp:nvSpPr>
        <dsp:cNvPr id="0" name=""/>
        <dsp:cNvSpPr/>
      </dsp:nvSpPr>
      <dsp:spPr>
        <a:xfrm>
          <a:off x="3590614" y="1534366"/>
          <a:ext cx="2009871"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систематический </a:t>
          </a:r>
        </a:p>
      </dsp:txBody>
      <dsp:txXfrm>
        <a:off x="3603618" y="1547370"/>
        <a:ext cx="1983863" cy="417982"/>
      </dsp:txXfrm>
    </dsp:sp>
    <dsp:sp modelId="{CF54DBF9-193C-42DF-8E52-FD8AB384B02F}">
      <dsp:nvSpPr>
        <dsp:cNvPr id="0" name=""/>
        <dsp:cNvSpPr/>
      </dsp:nvSpPr>
      <dsp:spPr>
        <a:xfrm rot="2142401">
          <a:off x="3194308" y="2130489"/>
          <a:ext cx="437420" cy="17626"/>
        </a:xfrm>
        <a:custGeom>
          <a:avLst/>
          <a:gdLst/>
          <a:ahLst/>
          <a:cxnLst/>
          <a:rect l="0" t="0" r="0" b="0"/>
          <a:pathLst>
            <a:path>
              <a:moveTo>
                <a:pt x="0" y="8813"/>
              </a:moveTo>
              <a:lnTo>
                <a:pt x="437420"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2082" y="2128367"/>
        <a:ext cx="21871" cy="21871"/>
      </dsp:txXfrm>
    </dsp:sp>
    <dsp:sp modelId="{8EB93ACA-8778-410B-ACE7-DEEE1E91A71D}">
      <dsp:nvSpPr>
        <dsp:cNvPr id="0" name=""/>
        <dsp:cNvSpPr/>
      </dsp:nvSpPr>
      <dsp:spPr>
        <a:xfrm>
          <a:off x="3590614" y="2044954"/>
          <a:ext cx="1512647"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несистематический </a:t>
          </a:r>
        </a:p>
      </dsp:txBody>
      <dsp:txXfrm>
        <a:off x="3603618" y="2057958"/>
        <a:ext cx="1486639" cy="417982"/>
      </dsp:txXfrm>
    </dsp:sp>
    <dsp:sp modelId="{17ADD37B-3517-4349-BFBA-C3A03D90125F}">
      <dsp:nvSpPr>
        <dsp:cNvPr id="0" name=""/>
        <dsp:cNvSpPr/>
      </dsp:nvSpPr>
      <dsp:spPr>
        <a:xfrm rot="3654187">
          <a:off x="1804638" y="2704901"/>
          <a:ext cx="730415" cy="17626"/>
        </a:xfrm>
        <a:custGeom>
          <a:avLst/>
          <a:gdLst/>
          <a:ahLst/>
          <a:cxnLst/>
          <a:rect l="0" t="0" r="0" b="0"/>
          <a:pathLst>
            <a:path>
              <a:moveTo>
                <a:pt x="0" y="8813"/>
              </a:moveTo>
              <a:lnTo>
                <a:pt x="730415" y="8813"/>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151585" y="2695454"/>
        <a:ext cx="36520" cy="36520"/>
      </dsp:txXfrm>
    </dsp:sp>
    <dsp:sp modelId="{B624EF8E-4AF4-414A-B735-E6AFA8453033}">
      <dsp:nvSpPr>
        <dsp:cNvPr id="0" name=""/>
        <dsp:cNvSpPr/>
      </dsp:nvSpPr>
      <dsp:spPr>
        <a:xfrm>
          <a:off x="2347442" y="2810837"/>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уровню допустимого предела </a:t>
          </a:r>
        </a:p>
      </dsp:txBody>
      <dsp:txXfrm>
        <a:off x="2360446" y="2823841"/>
        <a:ext cx="861972" cy="417982"/>
      </dsp:txXfrm>
    </dsp:sp>
    <dsp:sp modelId="{8065B585-2ACE-4ABE-AE44-B2755114C3CF}">
      <dsp:nvSpPr>
        <dsp:cNvPr id="0" name=""/>
        <dsp:cNvSpPr/>
      </dsp:nvSpPr>
      <dsp:spPr>
        <a:xfrm rot="19457599">
          <a:off x="3194308" y="2896372"/>
          <a:ext cx="437420" cy="17626"/>
        </a:xfrm>
        <a:custGeom>
          <a:avLst/>
          <a:gdLst/>
          <a:ahLst/>
          <a:cxnLst/>
          <a:rect l="0" t="0" r="0" b="0"/>
          <a:pathLst>
            <a:path>
              <a:moveTo>
                <a:pt x="0" y="8813"/>
              </a:moveTo>
              <a:lnTo>
                <a:pt x="437420"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2082" y="2894250"/>
        <a:ext cx="21871" cy="21871"/>
      </dsp:txXfrm>
    </dsp:sp>
    <dsp:sp modelId="{CF4BC1EB-2131-4A07-BA87-D19BBC0DD925}">
      <dsp:nvSpPr>
        <dsp:cNvPr id="0" name=""/>
        <dsp:cNvSpPr/>
      </dsp:nvSpPr>
      <dsp:spPr>
        <a:xfrm>
          <a:off x="3590614" y="2555543"/>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допустимый </a:t>
          </a:r>
        </a:p>
      </dsp:txBody>
      <dsp:txXfrm>
        <a:off x="3603618" y="2568547"/>
        <a:ext cx="861972" cy="417982"/>
      </dsp:txXfrm>
    </dsp:sp>
    <dsp:sp modelId="{5907D415-A514-41B7-A559-C6D9D4990BE3}">
      <dsp:nvSpPr>
        <dsp:cNvPr id="0" name=""/>
        <dsp:cNvSpPr/>
      </dsp:nvSpPr>
      <dsp:spPr>
        <a:xfrm rot="2142401">
          <a:off x="3194308" y="3151666"/>
          <a:ext cx="437420" cy="17626"/>
        </a:xfrm>
        <a:custGeom>
          <a:avLst/>
          <a:gdLst/>
          <a:ahLst/>
          <a:cxnLst/>
          <a:rect l="0" t="0" r="0" b="0"/>
          <a:pathLst>
            <a:path>
              <a:moveTo>
                <a:pt x="0" y="8813"/>
              </a:moveTo>
              <a:lnTo>
                <a:pt x="437420"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2082" y="3149544"/>
        <a:ext cx="21871" cy="21871"/>
      </dsp:txXfrm>
    </dsp:sp>
    <dsp:sp modelId="{351E61A5-6009-4CD4-98F0-A836601480D5}">
      <dsp:nvSpPr>
        <dsp:cNvPr id="0" name=""/>
        <dsp:cNvSpPr/>
      </dsp:nvSpPr>
      <dsp:spPr>
        <a:xfrm>
          <a:off x="3590614" y="3066132"/>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критический </a:t>
          </a:r>
        </a:p>
      </dsp:txBody>
      <dsp:txXfrm>
        <a:off x="3603618" y="3079136"/>
        <a:ext cx="861972" cy="417982"/>
      </dsp:txXfrm>
    </dsp:sp>
    <dsp:sp modelId="{CF9064E1-150C-4C05-BFB2-AAEEE0B6D5B3}">
      <dsp:nvSpPr>
        <dsp:cNvPr id="0" name=""/>
        <dsp:cNvSpPr/>
      </dsp:nvSpPr>
      <dsp:spPr>
        <a:xfrm rot="4675100">
          <a:off x="1321345" y="3215490"/>
          <a:ext cx="1697000" cy="17626"/>
        </a:xfrm>
        <a:custGeom>
          <a:avLst/>
          <a:gdLst/>
          <a:ahLst/>
          <a:cxnLst/>
          <a:rect l="0" t="0" r="0" b="0"/>
          <a:pathLst>
            <a:path>
              <a:moveTo>
                <a:pt x="0" y="8813"/>
              </a:moveTo>
              <a:lnTo>
                <a:pt x="1697000" y="8813"/>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127421" y="3181878"/>
        <a:ext cx="84850" cy="84850"/>
      </dsp:txXfrm>
    </dsp:sp>
    <dsp:sp modelId="{E05222A6-6BB3-4FB0-89D1-1C58D307F371}">
      <dsp:nvSpPr>
        <dsp:cNvPr id="0" name=""/>
        <dsp:cNvSpPr/>
      </dsp:nvSpPr>
      <dsp:spPr>
        <a:xfrm>
          <a:off x="2347442" y="3832014"/>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 периодичности </a:t>
          </a:r>
        </a:p>
      </dsp:txBody>
      <dsp:txXfrm>
        <a:off x="2360446" y="3845018"/>
        <a:ext cx="861972" cy="417982"/>
      </dsp:txXfrm>
    </dsp:sp>
    <dsp:sp modelId="{DD1A0724-8FCF-4340-AB80-F872DA922FD6}">
      <dsp:nvSpPr>
        <dsp:cNvPr id="0" name=""/>
        <dsp:cNvSpPr/>
      </dsp:nvSpPr>
      <dsp:spPr>
        <a:xfrm rot="19457599">
          <a:off x="3194308" y="3917549"/>
          <a:ext cx="437420" cy="17626"/>
        </a:xfrm>
        <a:custGeom>
          <a:avLst/>
          <a:gdLst/>
          <a:ahLst/>
          <a:cxnLst/>
          <a:rect l="0" t="0" r="0" b="0"/>
          <a:pathLst>
            <a:path>
              <a:moveTo>
                <a:pt x="0" y="8813"/>
              </a:moveTo>
              <a:lnTo>
                <a:pt x="437420"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2082" y="3915427"/>
        <a:ext cx="21871" cy="21871"/>
      </dsp:txXfrm>
    </dsp:sp>
    <dsp:sp modelId="{E59B8E8B-D3BF-4361-94C6-8D2BC906F1B7}">
      <dsp:nvSpPr>
        <dsp:cNvPr id="0" name=""/>
        <dsp:cNvSpPr/>
      </dsp:nvSpPr>
      <dsp:spPr>
        <a:xfrm>
          <a:off x="3590614" y="3576720"/>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постоянный </a:t>
          </a:r>
        </a:p>
      </dsp:txBody>
      <dsp:txXfrm>
        <a:off x="3603618" y="3589724"/>
        <a:ext cx="861972" cy="417982"/>
      </dsp:txXfrm>
    </dsp:sp>
    <dsp:sp modelId="{BD42A79B-7D0A-4655-A1AE-383BDD83048D}">
      <dsp:nvSpPr>
        <dsp:cNvPr id="0" name=""/>
        <dsp:cNvSpPr/>
      </dsp:nvSpPr>
      <dsp:spPr>
        <a:xfrm rot="2142401">
          <a:off x="3194308" y="4172843"/>
          <a:ext cx="437420" cy="17626"/>
        </a:xfrm>
        <a:custGeom>
          <a:avLst/>
          <a:gdLst/>
          <a:ahLst/>
          <a:cxnLst/>
          <a:rect l="0" t="0" r="0" b="0"/>
          <a:pathLst>
            <a:path>
              <a:moveTo>
                <a:pt x="0" y="8813"/>
              </a:moveTo>
              <a:lnTo>
                <a:pt x="437420" y="8813"/>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02082" y="4170721"/>
        <a:ext cx="21871" cy="21871"/>
      </dsp:txXfrm>
    </dsp:sp>
    <dsp:sp modelId="{4A91AAF3-0B6C-4E2E-952C-31F3D0BD34CA}">
      <dsp:nvSpPr>
        <dsp:cNvPr id="0" name=""/>
        <dsp:cNvSpPr/>
      </dsp:nvSpPr>
      <dsp:spPr>
        <a:xfrm>
          <a:off x="3590614" y="4087309"/>
          <a:ext cx="887980" cy="44399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временный </a:t>
          </a:r>
        </a:p>
      </dsp:txBody>
      <dsp:txXfrm>
        <a:off x="3603618" y="4100313"/>
        <a:ext cx="861972" cy="41798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1900</Words>
  <Characters>10830</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2025-04-04T06:06:00Z</dcterms:created>
  <dcterms:modified xsi:type="dcterms:W3CDTF">2025-04-04T06:06:00Z</dcterms:modified>
</cp:coreProperties>
</file>