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612" w:rsidRPr="00787B3D" w:rsidRDefault="00C14612" w:rsidP="00C14612">
      <w:pPr>
        <w:spacing w:after="0" w:line="360" w:lineRule="auto"/>
        <w:jc w:val="both"/>
        <w:rPr>
          <w:rFonts w:ascii="Times New Roman" w:eastAsia="Calibri" w:hAnsi="Times New Roman" w:cs="Times New Roman"/>
          <w:sz w:val="28"/>
          <w:szCs w:val="28"/>
          <w:lang w:val="en-US"/>
        </w:rPr>
      </w:pPr>
    </w:p>
    <w:p w:rsidR="00C14612" w:rsidRPr="00787B3D" w:rsidRDefault="00C14612" w:rsidP="00C14612">
      <w:pPr>
        <w:spacing w:after="0" w:line="360" w:lineRule="auto"/>
        <w:ind w:firstLine="567"/>
        <w:contextualSpacing/>
        <w:jc w:val="right"/>
        <w:rPr>
          <w:rFonts w:ascii="Times New Roman" w:eastAsia="Calibri" w:hAnsi="Times New Roman" w:cs="Arial"/>
          <w:caps/>
          <w:color w:val="000000"/>
          <w:sz w:val="28"/>
        </w:rPr>
      </w:pPr>
      <w:r w:rsidRPr="00787B3D">
        <w:rPr>
          <w:rFonts w:ascii="Times New Roman" w:eastAsia="Calibri" w:hAnsi="Times New Roman" w:cs="Arial"/>
          <w:caps/>
          <w:color w:val="000000"/>
          <w:sz w:val="28"/>
        </w:rPr>
        <w:t>удк 316.35</w:t>
      </w:r>
    </w:p>
    <w:p w:rsidR="00C14612" w:rsidRPr="00787B3D" w:rsidRDefault="00C14612" w:rsidP="00C14612">
      <w:pPr>
        <w:spacing w:after="0" w:line="360" w:lineRule="auto"/>
        <w:contextualSpacing/>
        <w:jc w:val="center"/>
        <w:rPr>
          <w:rFonts w:ascii="Times New Roman" w:eastAsia="Calibri" w:hAnsi="Times New Roman" w:cs="Arial"/>
          <w:b/>
          <w:bCs/>
          <w:caps/>
          <w:color w:val="000000"/>
          <w:sz w:val="28"/>
        </w:rPr>
      </w:pPr>
      <w:r w:rsidRPr="00787B3D">
        <w:rPr>
          <w:rFonts w:ascii="Times New Roman" w:eastAsia="Calibri" w:hAnsi="Times New Roman" w:cs="Arial"/>
          <w:b/>
          <w:bCs/>
          <w:caps/>
          <w:color w:val="000000"/>
          <w:sz w:val="28"/>
        </w:rPr>
        <w:t>Анализ современного состояния мер поддержки малого и среднего предпринимательства на примере Республики Бурятия</w:t>
      </w:r>
    </w:p>
    <w:p w:rsidR="00C14612" w:rsidRPr="00787B3D" w:rsidRDefault="00C14612" w:rsidP="00C14612">
      <w:pPr>
        <w:spacing w:after="0" w:line="360" w:lineRule="auto"/>
        <w:contextualSpacing/>
        <w:jc w:val="center"/>
        <w:rPr>
          <w:rFonts w:ascii="Times New Roman" w:eastAsia="Calibri" w:hAnsi="Times New Roman" w:cs="Arial"/>
          <w:b/>
          <w:bCs/>
          <w:color w:val="000000"/>
          <w:sz w:val="28"/>
          <w:lang w:val="en-US"/>
        </w:rPr>
      </w:pPr>
      <w:r w:rsidRPr="00787B3D">
        <w:rPr>
          <w:rFonts w:ascii="Times New Roman" w:eastAsia="Calibri" w:hAnsi="Times New Roman" w:cs="Arial"/>
          <w:b/>
          <w:bCs/>
          <w:color w:val="000000"/>
          <w:sz w:val="28"/>
          <w:lang w:val="en-US"/>
        </w:rPr>
        <w:t>ANALYSIS OF THE CURRENT STATE OF MEASURES TO SUPPORT SMALL AND MEDIUM-SIZED BUSINESSES USING THE EXAMPLE OF THE REPUBLIC OF BURYATIA</w:t>
      </w:r>
    </w:p>
    <w:p w:rsidR="00C14612" w:rsidRPr="00787B3D" w:rsidRDefault="00C14612" w:rsidP="00C14612">
      <w:pPr>
        <w:spacing w:after="0" w:line="360" w:lineRule="auto"/>
        <w:contextualSpacing/>
        <w:jc w:val="center"/>
        <w:rPr>
          <w:rFonts w:ascii="Times New Roman" w:eastAsia="Calibri" w:hAnsi="Times New Roman" w:cs="Arial"/>
          <w:b/>
          <w:bCs/>
          <w:color w:val="000000"/>
          <w:sz w:val="28"/>
          <w:lang w:val="en-US"/>
        </w:rPr>
      </w:pPr>
    </w:p>
    <w:p w:rsidR="00C14612" w:rsidRPr="00787B3D" w:rsidRDefault="00C14612" w:rsidP="00C14612">
      <w:pPr>
        <w:spacing w:after="0" w:line="360" w:lineRule="auto"/>
        <w:ind w:firstLine="567"/>
        <w:contextualSpacing/>
        <w:jc w:val="right"/>
        <w:rPr>
          <w:rFonts w:ascii="Times New Roman" w:eastAsia="Calibri" w:hAnsi="Times New Roman" w:cs="Times New Roman"/>
          <w:b/>
          <w:bCs/>
          <w:color w:val="000000"/>
          <w:sz w:val="28"/>
          <w:szCs w:val="28"/>
        </w:rPr>
      </w:pPr>
      <w:r w:rsidRPr="00787B3D">
        <w:rPr>
          <w:rFonts w:ascii="Times New Roman" w:eastAsia="Calibri" w:hAnsi="Times New Roman" w:cs="Times New Roman"/>
          <w:b/>
          <w:bCs/>
          <w:color w:val="000000"/>
          <w:sz w:val="28"/>
          <w:szCs w:val="28"/>
        </w:rPr>
        <w:t>ДОРЖИЕВА ДОЛГОРА БАТОЕВНА</w:t>
      </w:r>
    </w:p>
    <w:p w:rsidR="00C14612" w:rsidRPr="00787B3D" w:rsidRDefault="00C14612" w:rsidP="00C14612">
      <w:pPr>
        <w:spacing w:after="0" w:line="360" w:lineRule="auto"/>
        <w:ind w:firstLine="567"/>
        <w:contextualSpacing/>
        <w:jc w:val="right"/>
        <w:rPr>
          <w:rFonts w:ascii="Times New Roman" w:eastAsia="Calibri" w:hAnsi="Times New Roman" w:cs="Arial"/>
          <w:i/>
          <w:iCs/>
          <w:color w:val="000000"/>
          <w:sz w:val="28"/>
        </w:rPr>
      </w:pPr>
      <w:r w:rsidRPr="00787B3D">
        <w:rPr>
          <w:rFonts w:ascii="Times New Roman" w:eastAsia="Calibri" w:hAnsi="Times New Roman" w:cs="Arial"/>
          <w:i/>
          <w:iCs/>
          <w:color w:val="000000"/>
          <w:sz w:val="28"/>
        </w:rPr>
        <w:t>Бурятский государственный университет</w:t>
      </w:r>
      <w:r w:rsidRPr="00787B3D">
        <w:rPr>
          <w:rFonts w:ascii="Times New Roman" w:eastAsia="Calibri" w:hAnsi="Times New Roman" w:cs="Arial"/>
          <w:i/>
          <w:iCs/>
          <w:sz w:val="28"/>
        </w:rPr>
        <w:t xml:space="preserve"> </w:t>
      </w:r>
      <w:r w:rsidRPr="00787B3D">
        <w:rPr>
          <w:rFonts w:ascii="Times New Roman" w:eastAsia="Calibri" w:hAnsi="Times New Roman" w:cs="Arial"/>
          <w:i/>
          <w:iCs/>
          <w:color w:val="000000"/>
          <w:sz w:val="28"/>
        </w:rPr>
        <w:t xml:space="preserve">имени </w:t>
      </w:r>
      <w:proofErr w:type="spellStart"/>
      <w:r w:rsidRPr="00787B3D">
        <w:rPr>
          <w:rFonts w:ascii="Times New Roman" w:eastAsia="Calibri" w:hAnsi="Times New Roman" w:cs="Arial"/>
          <w:i/>
          <w:iCs/>
          <w:color w:val="000000"/>
          <w:sz w:val="28"/>
        </w:rPr>
        <w:t>Доржи</w:t>
      </w:r>
      <w:proofErr w:type="spellEnd"/>
      <w:r w:rsidRPr="00787B3D">
        <w:rPr>
          <w:rFonts w:ascii="Times New Roman" w:eastAsia="Calibri" w:hAnsi="Times New Roman" w:cs="Arial"/>
          <w:i/>
          <w:iCs/>
          <w:color w:val="000000"/>
          <w:sz w:val="28"/>
        </w:rPr>
        <w:t xml:space="preserve"> Банзарова</w:t>
      </w:r>
    </w:p>
    <w:p w:rsidR="00C14612" w:rsidRPr="00787B3D" w:rsidRDefault="00C14612" w:rsidP="00C14612">
      <w:pPr>
        <w:spacing w:after="0" w:line="360" w:lineRule="auto"/>
        <w:ind w:firstLine="567"/>
        <w:contextualSpacing/>
        <w:jc w:val="right"/>
        <w:rPr>
          <w:rFonts w:ascii="Times New Roman" w:eastAsia="Calibri" w:hAnsi="Times New Roman" w:cs="Arial"/>
          <w:b/>
          <w:color w:val="000000"/>
          <w:sz w:val="28"/>
          <w:lang w:val="en-US"/>
        </w:rPr>
      </w:pPr>
      <w:r w:rsidRPr="00787B3D">
        <w:rPr>
          <w:rFonts w:ascii="Times New Roman" w:eastAsia="Calibri" w:hAnsi="Times New Roman" w:cs="Arial"/>
          <w:b/>
          <w:color w:val="000000"/>
          <w:sz w:val="28"/>
          <w:lang w:val="en-US"/>
        </w:rPr>
        <w:t>DORZHIEVA DOLGORA BATOEVNA</w:t>
      </w:r>
    </w:p>
    <w:p w:rsidR="00C14612" w:rsidRDefault="00C14612" w:rsidP="00C14612">
      <w:pPr>
        <w:spacing w:after="0" w:line="360" w:lineRule="auto"/>
        <w:ind w:firstLine="567"/>
        <w:contextualSpacing/>
        <w:jc w:val="right"/>
        <w:rPr>
          <w:rFonts w:ascii="Times New Roman" w:eastAsia="Calibri" w:hAnsi="Times New Roman" w:cs="Arial"/>
          <w:i/>
          <w:color w:val="000000"/>
          <w:sz w:val="28"/>
        </w:rPr>
      </w:pPr>
      <w:r w:rsidRPr="00787B3D">
        <w:rPr>
          <w:rFonts w:ascii="Times New Roman" w:eastAsia="Calibri" w:hAnsi="Times New Roman" w:cs="Arial"/>
          <w:i/>
          <w:color w:val="000000"/>
          <w:sz w:val="28"/>
          <w:lang w:val="en-US"/>
        </w:rPr>
        <w:t xml:space="preserve">Buryat State University </w:t>
      </w:r>
    </w:p>
    <w:p w:rsidR="00C14612" w:rsidRPr="00C14612" w:rsidRDefault="00C14612" w:rsidP="00C14612">
      <w:pPr>
        <w:spacing w:after="0" w:line="360" w:lineRule="auto"/>
        <w:jc w:val="right"/>
        <w:rPr>
          <w:rFonts w:ascii="Times New Roman" w:hAnsi="Times New Roman" w:cs="Times New Roman"/>
          <w:b/>
          <w:sz w:val="28"/>
          <w:szCs w:val="28"/>
        </w:rPr>
      </w:pPr>
      <w:r w:rsidRPr="00C14612">
        <w:rPr>
          <w:rFonts w:ascii="Times New Roman" w:hAnsi="Times New Roman" w:cs="Times New Roman"/>
          <w:b/>
          <w:sz w:val="28"/>
          <w:szCs w:val="28"/>
        </w:rPr>
        <w:t>СУБАНАКОВ ГЕОРГИЙ ЮРЬЕВИЧ</w:t>
      </w:r>
    </w:p>
    <w:p w:rsidR="00C14612" w:rsidRPr="00A25467" w:rsidRDefault="00C14612" w:rsidP="00C14612">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Институт Права и Э</w:t>
      </w:r>
      <w:r w:rsidRPr="00A25467">
        <w:rPr>
          <w:rFonts w:ascii="Times New Roman" w:hAnsi="Times New Roman" w:cs="Times New Roman"/>
          <w:sz w:val="28"/>
          <w:szCs w:val="28"/>
        </w:rPr>
        <w:t>кономики</w:t>
      </w:r>
    </w:p>
    <w:p w:rsidR="00C14612" w:rsidRPr="0067759E" w:rsidRDefault="00C14612" w:rsidP="00C14612">
      <w:pPr>
        <w:spacing w:after="0" w:line="360" w:lineRule="auto"/>
        <w:jc w:val="right"/>
        <w:rPr>
          <w:rFonts w:ascii="Times New Roman" w:hAnsi="Times New Roman" w:cs="Times New Roman"/>
          <w:i/>
          <w:sz w:val="28"/>
          <w:szCs w:val="28"/>
        </w:rPr>
      </w:pPr>
      <w:r w:rsidRPr="0067759E">
        <w:rPr>
          <w:rFonts w:ascii="Times New Roman" w:hAnsi="Times New Roman" w:cs="Times New Roman"/>
          <w:i/>
          <w:sz w:val="28"/>
          <w:szCs w:val="28"/>
        </w:rPr>
        <w:t xml:space="preserve">Бурятский государственный университет имени </w:t>
      </w:r>
      <w:proofErr w:type="spellStart"/>
      <w:r w:rsidRPr="0067759E">
        <w:rPr>
          <w:rFonts w:ascii="Times New Roman" w:hAnsi="Times New Roman" w:cs="Times New Roman"/>
          <w:i/>
          <w:sz w:val="28"/>
          <w:szCs w:val="28"/>
        </w:rPr>
        <w:t>Доржи</w:t>
      </w:r>
      <w:proofErr w:type="spellEnd"/>
      <w:r w:rsidRPr="0067759E">
        <w:rPr>
          <w:rFonts w:ascii="Times New Roman" w:hAnsi="Times New Roman" w:cs="Times New Roman"/>
          <w:i/>
          <w:sz w:val="28"/>
          <w:szCs w:val="28"/>
        </w:rPr>
        <w:t xml:space="preserve"> Банзарова</w:t>
      </w:r>
    </w:p>
    <w:p w:rsidR="00C14612" w:rsidRPr="00C14612" w:rsidRDefault="00C14612" w:rsidP="00C14612">
      <w:pPr>
        <w:spacing w:after="0" w:line="360" w:lineRule="auto"/>
        <w:jc w:val="right"/>
        <w:rPr>
          <w:rFonts w:ascii="Times New Roman" w:hAnsi="Times New Roman" w:cs="Times New Roman"/>
          <w:b/>
          <w:sz w:val="28"/>
          <w:szCs w:val="28"/>
          <w:lang w:val="en-US"/>
        </w:rPr>
      </w:pPr>
      <w:bookmarkStart w:id="0" w:name="_GoBack"/>
      <w:r w:rsidRPr="00C14612">
        <w:rPr>
          <w:rFonts w:ascii="Times New Roman" w:hAnsi="Times New Roman" w:cs="Times New Roman"/>
          <w:b/>
          <w:sz w:val="28"/>
          <w:szCs w:val="28"/>
          <w:lang w:val="en-US"/>
        </w:rPr>
        <w:t>GEORGE SUBANAKOV</w:t>
      </w:r>
    </w:p>
    <w:bookmarkEnd w:id="0"/>
    <w:p w:rsidR="00C14612" w:rsidRPr="00A25467" w:rsidRDefault="00C14612" w:rsidP="00C14612">
      <w:pPr>
        <w:spacing w:after="0" w:line="360" w:lineRule="auto"/>
        <w:jc w:val="right"/>
        <w:rPr>
          <w:rFonts w:ascii="Times New Roman" w:hAnsi="Times New Roman" w:cs="Times New Roman"/>
          <w:sz w:val="28"/>
          <w:szCs w:val="28"/>
          <w:lang w:val="en-US"/>
        </w:rPr>
      </w:pPr>
      <w:r w:rsidRPr="00A25467">
        <w:rPr>
          <w:rFonts w:ascii="Times New Roman" w:hAnsi="Times New Roman" w:cs="Times New Roman"/>
          <w:sz w:val="28"/>
          <w:szCs w:val="28"/>
          <w:lang w:val="en-US"/>
        </w:rPr>
        <w:t>Institute of Law and Economics</w:t>
      </w:r>
    </w:p>
    <w:p w:rsidR="00C14612" w:rsidRPr="002A7E01" w:rsidRDefault="00C14612" w:rsidP="00C14612">
      <w:pPr>
        <w:spacing w:after="0" w:line="360" w:lineRule="auto"/>
        <w:jc w:val="right"/>
        <w:rPr>
          <w:rFonts w:ascii="Times New Roman" w:hAnsi="Times New Roman" w:cs="Times New Roman"/>
          <w:i/>
          <w:sz w:val="28"/>
          <w:szCs w:val="28"/>
        </w:rPr>
      </w:pPr>
      <w:r w:rsidRPr="00A67619">
        <w:rPr>
          <w:rFonts w:ascii="Times New Roman" w:hAnsi="Times New Roman" w:cs="Times New Roman"/>
          <w:i/>
          <w:sz w:val="28"/>
          <w:szCs w:val="28"/>
          <w:lang w:val="en-US"/>
        </w:rPr>
        <w:t>Buryat</w:t>
      </w:r>
      <w:r w:rsidRPr="002A7E01">
        <w:rPr>
          <w:rFonts w:ascii="Times New Roman" w:hAnsi="Times New Roman" w:cs="Times New Roman"/>
          <w:i/>
          <w:sz w:val="28"/>
          <w:szCs w:val="28"/>
        </w:rPr>
        <w:t xml:space="preserve"> </w:t>
      </w:r>
      <w:r w:rsidRPr="00A67619">
        <w:rPr>
          <w:rFonts w:ascii="Times New Roman" w:hAnsi="Times New Roman" w:cs="Times New Roman"/>
          <w:i/>
          <w:sz w:val="28"/>
          <w:szCs w:val="28"/>
          <w:lang w:val="en-US"/>
        </w:rPr>
        <w:t>State</w:t>
      </w:r>
      <w:r w:rsidRPr="002A7E01">
        <w:rPr>
          <w:rFonts w:ascii="Times New Roman" w:hAnsi="Times New Roman" w:cs="Times New Roman"/>
          <w:i/>
          <w:sz w:val="28"/>
          <w:szCs w:val="28"/>
        </w:rPr>
        <w:t xml:space="preserve"> </w:t>
      </w:r>
      <w:r w:rsidRPr="00A67619">
        <w:rPr>
          <w:rFonts w:ascii="Times New Roman" w:hAnsi="Times New Roman" w:cs="Times New Roman"/>
          <w:i/>
          <w:sz w:val="28"/>
          <w:szCs w:val="28"/>
          <w:lang w:val="en-US"/>
        </w:rPr>
        <w:t>University</w:t>
      </w:r>
    </w:p>
    <w:p w:rsidR="00C14612" w:rsidRPr="00C14612" w:rsidRDefault="00C14612" w:rsidP="00C14612">
      <w:pPr>
        <w:spacing w:after="0" w:line="360" w:lineRule="auto"/>
        <w:ind w:firstLine="567"/>
        <w:contextualSpacing/>
        <w:jc w:val="right"/>
        <w:rPr>
          <w:rFonts w:ascii="Times New Roman" w:eastAsia="Calibri" w:hAnsi="Times New Roman" w:cs="Arial"/>
          <w:i/>
          <w:color w:val="000000"/>
          <w:sz w:val="28"/>
        </w:rPr>
      </w:pPr>
    </w:p>
    <w:p w:rsidR="00C14612" w:rsidRPr="00787B3D" w:rsidRDefault="00C14612" w:rsidP="00C14612">
      <w:pPr>
        <w:spacing w:after="0" w:line="360" w:lineRule="auto"/>
        <w:ind w:firstLine="567"/>
        <w:contextualSpacing/>
        <w:jc w:val="right"/>
        <w:rPr>
          <w:rFonts w:ascii="Times New Roman" w:eastAsia="Calibri" w:hAnsi="Times New Roman" w:cs="Arial"/>
          <w:i/>
          <w:color w:val="000000"/>
          <w:sz w:val="28"/>
          <w:lang w:val="en-US"/>
        </w:rPr>
      </w:pPr>
    </w:p>
    <w:p w:rsidR="00C14612" w:rsidRPr="00787B3D" w:rsidRDefault="00C14612" w:rsidP="00C14612">
      <w:pPr>
        <w:spacing w:after="0" w:line="360" w:lineRule="auto"/>
        <w:contextualSpacing/>
        <w:jc w:val="both"/>
        <w:rPr>
          <w:rFonts w:ascii="Times New Roman" w:eastAsia="Calibri" w:hAnsi="Times New Roman" w:cs="Arial"/>
          <w:iCs/>
          <w:color w:val="000000"/>
          <w:sz w:val="28"/>
        </w:rPr>
      </w:pPr>
      <w:r w:rsidRPr="00787B3D">
        <w:rPr>
          <w:rFonts w:ascii="Times New Roman" w:eastAsia="Calibri" w:hAnsi="Times New Roman" w:cs="Arial"/>
          <w:b/>
          <w:iCs/>
          <w:color w:val="000000"/>
          <w:sz w:val="28"/>
        </w:rPr>
        <w:t>Аннотация.</w:t>
      </w:r>
      <w:r w:rsidRPr="00787B3D">
        <w:rPr>
          <w:rFonts w:ascii="Times New Roman" w:eastAsia="Calibri" w:hAnsi="Times New Roman" w:cs="Arial"/>
          <w:iCs/>
          <w:color w:val="000000"/>
          <w:sz w:val="28"/>
        </w:rPr>
        <w:t xml:space="preserve"> В статье рассматривается современное состояние системы поддержки малого и среднего предпринимательства (МСП) в Республике Бурятия. На основе анализа статистических данных и действующих мер государственной поддержки выявлены основные направления содействия предпринимательской деятельности, включая субсидирование затрат на приобретение оборудования, гранты для социальных и молодых предпринимателей, поддержку обрабатывающей промышленности и инновационных проектов.</w:t>
      </w:r>
    </w:p>
    <w:p w:rsidR="00C14612" w:rsidRPr="00787B3D" w:rsidRDefault="00C14612" w:rsidP="00C14612">
      <w:pPr>
        <w:spacing w:after="0" w:line="360" w:lineRule="auto"/>
        <w:contextualSpacing/>
        <w:jc w:val="both"/>
        <w:rPr>
          <w:rFonts w:ascii="Times New Roman" w:eastAsia="Calibri" w:hAnsi="Times New Roman" w:cs="Arial"/>
          <w:iCs/>
          <w:color w:val="000000"/>
          <w:sz w:val="28"/>
        </w:rPr>
      </w:pPr>
      <w:r w:rsidRPr="00787B3D">
        <w:rPr>
          <w:rFonts w:ascii="Times New Roman" w:eastAsia="Calibri" w:hAnsi="Times New Roman" w:cs="Arial"/>
          <w:iCs/>
          <w:color w:val="000000"/>
          <w:sz w:val="28"/>
        </w:rPr>
        <w:lastRenderedPageBreak/>
        <w:t>Обоснована важность совершенствования системы поддержки малого и среднего предпринимательства для повышения его эффективности. В рамках исследования предложены конкретные меры, включая расширение финансовой помощи, внедрение цифровых платформ для упрощения доступа к информации о мерах поддержки, развитие программ образовательного и консультационного характера, снижение административной нагрузки на предпринимателей и усиление поддержки инновационных и экспортно-ориентированных проектов.</w:t>
      </w:r>
    </w:p>
    <w:p w:rsidR="00C14612" w:rsidRPr="00787B3D" w:rsidRDefault="00C14612" w:rsidP="00C14612">
      <w:pPr>
        <w:spacing w:after="0" w:line="360" w:lineRule="auto"/>
        <w:contextualSpacing/>
        <w:jc w:val="both"/>
        <w:rPr>
          <w:rFonts w:ascii="Times New Roman" w:eastAsia="Calibri" w:hAnsi="Times New Roman" w:cs="Arial"/>
          <w:iCs/>
          <w:color w:val="000000"/>
          <w:sz w:val="28"/>
          <w:lang w:val="en-US"/>
        </w:rPr>
      </w:pPr>
      <w:r w:rsidRPr="00787B3D">
        <w:rPr>
          <w:rFonts w:ascii="Times New Roman" w:eastAsia="Calibri" w:hAnsi="Times New Roman" w:cs="Arial"/>
          <w:b/>
          <w:iCs/>
          <w:color w:val="000000"/>
          <w:sz w:val="28"/>
          <w:lang w:val="en-US"/>
        </w:rPr>
        <w:t>Abstract.</w:t>
      </w:r>
      <w:r w:rsidRPr="00787B3D">
        <w:rPr>
          <w:rFonts w:ascii="Times New Roman" w:eastAsia="Calibri" w:hAnsi="Times New Roman" w:cs="Arial"/>
          <w:iCs/>
          <w:sz w:val="28"/>
          <w:lang w:val="en-US"/>
        </w:rPr>
        <w:t xml:space="preserve"> </w:t>
      </w:r>
      <w:r w:rsidRPr="00787B3D">
        <w:rPr>
          <w:rFonts w:ascii="Times New Roman" w:eastAsia="Calibri" w:hAnsi="Times New Roman" w:cs="Arial"/>
          <w:iCs/>
          <w:color w:val="000000"/>
          <w:sz w:val="28"/>
          <w:lang w:val="en-US"/>
        </w:rPr>
        <w:t>The article examines the current state of the support system for small and medium-sized enterprises (SMEs) in the Republic of Buryatia. Based on the analysis of statistical data and existing government support measures, the main areas of business support have been identified, including subsidizing the cost of purchasing equipment, grants for social and young entrepreneurs, support for the manufacturing industry and innovative projects.</w:t>
      </w:r>
    </w:p>
    <w:p w:rsidR="00C14612" w:rsidRPr="00787B3D" w:rsidRDefault="00C14612" w:rsidP="00C14612">
      <w:pPr>
        <w:spacing w:after="0" w:line="360" w:lineRule="auto"/>
        <w:contextualSpacing/>
        <w:jc w:val="both"/>
        <w:rPr>
          <w:rFonts w:ascii="Times New Roman" w:eastAsia="Calibri" w:hAnsi="Times New Roman" w:cs="Arial"/>
          <w:iCs/>
          <w:color w:val="000000"/>
          <w:sz w:val="28"/>
          <w:lang w:val="en-US"/>
        </w:rPr>
      </w:pPr>
      <w:r w:rsidRPr="00787B3D">
        <w:rPr>
          <w:rFonts w:ascii="Times New Roman" w:eastAsia="Calibri" w:hAnsi="Times New Roman" w:cs="Arial"/>
          <w:iCs/>
          <w:color w:val="000000"/>
          <w:sz w:val="28"/>
          <w:lang w:val="en-US"/>
        </w:rPr>
        <w:t>The importance of improving the SME support system to increase its effectiveness is substantiated. The study suggests specific measures, including expanding financial assistance, introducing digital platforms to simplify access to information on support measures, developing educational and consulting programs, reducing the administrative burden on entrepreneurs, and strengthening support for innovative and export-oriented projects.</w:t>
      </w:r>
    </w:p>
    <w:p w:rsidR="00C14612" w:rsidRPr="00787B3D" w:rsidRDefault="00C14612" w:rsidP="00C14612">
      <w:pPr>
        <w:spacing w:after="0" w:line="360" w:lineRule="auto"/>
        <w:contextualSpacing/>
        <w:jc w:val="both"/>
        <w:rPr>
          <w:rFonts w:ascii="Times New Roman" w:eastAsia="Calibri" w:hAnsi="Times New Roman" w:cs="Arial"/>
          <w:iCs/>
          <w:color w:val="000000"/>
          <w:sz w:val="28"/>
          <w:lang w:val="en-US"/>
        </w:rPr>
      </w:pPr>
    </w:p>
    <w:p w:rsidR="00C14612" w:rsidRPr="00787B3D" w:rsidRDefault="00C14612" w:rsidP="00C14612">
      <w:pPr>
        <w:spacing w:after="0" w:line="360" w:lineRule="auto"/>
        <w:contextualSpacing/>
        <w:jc w:val="both"/>
        <w:rPr>
          <w:rFonts w:ascii="Times New Roman" w:eastAsia="Calibri" w:hAnsi="Times New Roman" w:cs="Arial"/>
          <w:iCs/>
          <w:color w:val="000000"/>
          <w:sz w:val="28"/>
        </w:rPr>
      </w:pPr>
      <w:r w:rsidRPr="00787B3D">
        <w:rPr>
          <w:rFonts w:ascii="Times New Roman" w:eastAsia="Calibri" w:hAnsi="Times New Roman" w:cs="Arial"/>
          <w:b/>
          <w:bCs/>
          <w:iCs/>
          <w:color w:val="000000"/>
          <w:sz w:val="28"/>
        </w:rPr>
        <w:t>Ключевые слова</w:t>
      </w:r>
      <w:r w:rsidRPr="00787B3D">
        <w:rPr>
          <w:rFonts w:ascii="Times New Roman" w:eastAsia="Calibri" w:hAnsi="Times New Roman" w:cs="Arial"/>
          <w:iCs/>
          <w:color w:val="000000"/>
          <w:sz w:val="28"/>
        </w:rPr>
        <w:t>: малое предпринимательство, поддержка МСП, Министерство промышленности и торговли, финансовая поддержка, гранты, субсидии, кредитование.</w:t>
      </w:r>
    </w:p>
    <w:p w:rsidR="00C14612" w:rsidRPr="00787B3D" w:rsidRDefault="00C14612" w:rsidP="00C14612">
      <w:pPr>
        <w:spacing w:after="0" w:line="360" w:lineRule="auto"/>
        <w:contextualSpacing/>
        <w:jc w:val="both"/>
        <w:rPr>
          <w:rFonts w:ascii="Times New Roman" w:eastAsia="Calibri" w:hAnsi="Times New Roman" w:cs="Arial"/>
          <w:iCs/>
          <w:color w:val="000000"/>
          <w:sz w:val="28"/>
          <w:lang w:val="en-US"/>
        </w:rPr>
      </w:pPr>
      <w:r w:rsidRPr="00787B3D">
        <w:rPr>
          <w:rFonts w:ascii="Times New Roman" w:eastAsia="Calibri" w:hAnsi="Times New Roman" w:cs="Arial"/>
          <w:b/>
          <w:bCs/>
          <w:iCs/>
          <w:color w:val="000000"/>
          <w:sz w:val="28"/>
          <w:lang w:val="en-US"/>
        </w:rPr>
        <w:t>Key words</w:t>
      </w:r>
      <w:r w:rsidRPr="00787B3D">
        <w:rPr>
          <w:rFonts w:ascii="Times New Roman" w:eastAsia="Calibri" w:hAnsi="Times New Roman" w:cs="Arial"/>
          <w:iCs/>
          <w:color w:val="000000"/>
          <w:sz w:val="28"/>
          <w:lang w:val="en-US"/>
        </w:rPr>
        <w:t>: small business, SME support, Ministry of Industry and Trade, financial support, grants, subsidies, lending.</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lang w:val="en-US"/>
        </w:rPr>
      </w:pP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Малый бизнес является неотъемлемой частью экономики любой развитой страны, играя важную роль в обеспечении устойчивого </w:t>
      </w:r>
      <w:r w:rsidRPr="00787B3D">
        <w:rPr>
          <w:rFonts w:ascii="Times New Roman" w:eastAsia="Calibri" w:hAnsi="Times New Roman" w:cs="Arial"/>
          <w:color w:val="000000"/>
          <w:sz w:val="28"/>
        </w:rPr>
        <w:lastRenderedPageBreak/>
        <w:t xml:space="preserve">экономического роста, создании рабочих мест и повышении уровня жизни населения. </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В Республике Бурятия малый и средний бизнес также представляет собой один из ключевых секторов экономики, который нуждается в эффективной государственной поддержке и регулировании. </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По данным из реестра, который ведет Федеральная налоговая служба (ФНС), на 10 декабря 2024 г. в России насчитывалось более 6,5 </w:t>
      </w:r>
      <w:proofErr w:type="gramStart"/>
      <w:r w:rsidRPr="00787B3D">
        <w:rPr>
          <w:rFonts w:ascii="Times New Roman" w:eastAsia="Calibri" w:hAnsi="Times New Roman" w:cs="Arial"/>
          <w:color w:val="000000"/>
          <w:sz w:val="28"/>
        </w:rPr>
        <w:t>млн</w:t>
      </w:r>
      <w:proofErr w:type="gramEnd"/>
      <w:r w:rsidRPr="00787B3D">
        <w:rPr>
          <w:rFonts w:ascii="Times New Roman" w:eastAsia="Calibri" w:hAnsi="Times New Roman" w:cs="Arial"/>
          <w:color w:val="000000"/>
          <w:sz w:val="28"/>
        </w:rPr>
        <w:t xml:space="preserve"> МСП. На рисунке 1 можно рассмотреть </w:t>
      </w:r>
      <w:bookmarkStart w:id="1" w:name="_Hlk192593163"/>
      <w:r w:rsidRPr="00787B3D">
        <w:rPr>
          <w:rFonts w:ascii="Times New Roman" w:eastAsia="Calibri" w:hAnsi="Times New Roman" w:cs="Arial"/>
          <w:color w:val="000000"/>
          <w:sz w:val="28"/>
        </w:rPr>
        <w:t>изменения числа МСП в России за 2017-2024 гг</w:t>
      </w:r>
      <w:bookmarkEnd w:id="1"/>
      <w:r w:rsidRPr="00787B3D">
        <w:rPr>
          <w:rFonts w:ascii="Times New Roman" w:eastAsia="Calibri" w:hAnsi="Times New Roman" w:cs="Arial"/>
          <w:color w:val="000000"/>
          <w:sz w:val="28"/>
        </w:rPr>
        <w:t>. [6].</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p>
    <w:p w:rsidR="00C14612" w:rsidRPr="00787B3D" w:rsidRDefault="00C14612" w:rsidP="00C14612">
      <w:pPr>
        <w:spacing w:after="0" w:line="360" w:lineRule="auto"/>
        <w:contextualSpacing/>
        <w:jc w:val="center"/>
        <w:rPr>
          <w:rFonts w:ascii="Times New Roman" w:eastAsia="Calibri" w:hAnsi="Times New Roman" w:cs="Arial"/>
          <w:color w:val="000000"/>
          <w:sz w:val="28"/>
        </w:rPr>
      </w:pPr>
      <w:r w:rsidRPr="00787B3D">
        <w:rPr>
          <w:rFonts w:ascii="Times New Roman" w:eastAsia="Calibri" w:hAnsi="Times New Roman" w:cs="Arial"/>
          <w:noProof/>
          <w:color w:val="000000"/>
          <w:sz w:val="28"/>
          <w:lang w:eastAsia="ru-RU"/>
        </w:rPr>
        <w:drawing>
          <wp:inline distT="0" distB="0" distL="0" distR="0" wp14:anchorId="4E2B9C86" wp14:editId="7A20AD19">
            <wp:extent cx="5100923" cy="2636520"/>
            <wp:effectExtent l="0" t="0" r="508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t="6848" b="18694"/>
                    <a:stretch/>
                  </pic:blipFill>
                  <pic:spPr bwMode="auto">
                    <a:xfrm>
                      <a:off x="0" y="0"/>
                      <a:ext cx="5142411" cy="2657964"/>
                    </a:xfrm>
                    <a:prstGeom prst="rect">
                      <a:avLst/>
                    </a:prstGeom>
                    <a:noFill/>
                    <a:ln>
                      <a:noFill/>
                    </a:ln>
                    <a:extLst>
                      <a:ext uri="{53640926-AAD7-44D8-BBD7-CCE9431645EC}">
                        <a14:shadowObscured xmlns:a14="http://schemas.microsoft.com/office/drawing/2010/main"/>
                      </a:ext>
                    </a:extLst>
                  </pic:spPr>
                </pic:pic>
              </a:graphicData>
            </a:graphic>
          </wp:inline>
        </w:drawing>
      </w:r>
    </w:p>
    <w:p w:rsidR="00C14612" w:rsidRPr="00787B3D" w:rsidRDefault="00C14612" w:rsidP="00C14612">
      <w:pPr>
        <w:spacing w:after="0" w:line="360" w:lineRule="auto"/>
        <w:contextualSpacing/>
        <w:jc w:val="center"/>
        <w:rPr>
          <w:rFonts w:ascii="Times New Roman" w:eastAsia="Calibri" w:hAnsi="Times New Roman" w:cs="Arial"/>
          <w:color w:val="000000"/>
          <w:sz w:val="28"/>
        </w:rPr>
      </w:pPr>
      <w:r w:rsidRPr="00787B3D">
        <w:rPr>
          <w:rFonts w:ascii="Times New Roman" w:eastAsia="Calibri" w:hAnsi="Times New Roman" w:cs="Arial"/>
          <w:color w:val="000000"/>
          <w:sz w:val="28"/>
        </w:rPr>
        <w:t>Рис. 1. Изменения числа МСП в России за 2017-2024 гг. [6]</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В целом за 2024 г. прирост составил 4,1% (с 10 декабря 2023-го), причем положительная динамика сохранялась четвертый год подряд. Сейчас примерно каждое шестое МСП относится </w:t>
      </w:r>
      <w:proofErr w:type="gramStart"/>
      <w:r w:rsidRPr="00787B3D">
        <w:rPr>
          <w:rFonts w:ascii="Times New Roman" w:eastAsia="Calibri" w:hAnsi="Times New Roman" w:cs="Arial"/>
          <w:color w:val="000000"/>
          <w:sz w:val="28"/>
        </w:rPr>
        <w:t>к</w:t>
      </w:r>
      <w:proofErr w:type="gramEnd"/>
      <w:r w:rsidRPr="00787B3D">
        <w:rPr>
          <w:rFonts w:ascii="Times New Roman" w:eastAsia="Calibri" w:hAnsi="Times New Roman" w:cs="Arial"/>
          <w:color w:val="000000"/>
          <w:sz w:val="28"/>
        </w:rPr>
        <w:t> так называемым вновь созданным, то есть существует менее года.</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При этом стоит отметить, что в целом во всех субъектах РФ, количество МСП увеличилось. Лидерами роста стали: Республика Калмыкия – рост составил 38,5%, Херсонская область –38,4%, Запорожская область –33,6% [6]. </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В таблице</w:t>
      </w:r>
      <w:r w:rsidRPr="00787B3D">
        <w:rPr>
          <w:rFonts w:ascii="Times New Roman" w:eastAsia="Calibri" w:hAnsi="Times New Roman" w:cs="Times New Roman"/>
          <w:color w:val="000000"/>
          <w:sz w:val="28"/>
          <w:szCs w:val="28"/>
        </w:rPr>
        <w:t xml:space="preserve"> 1 представлена статистика развития МСП в Республике Бурятия согласно данным Единого реестра субъектов МСП [5].</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right"/>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Таблица 1 </w:t>
      </w:r>
    </w:p>
    <w:p w:rsidR="00C14612" w:rsidRPr="00787B3D" w:rsidRDefault="00C14612" w:rsidP="00C14612">
      <w:pPr>
        <w:spacing w:after="0" w:line="360" w:lineRule="auto"/>
        <w:contextualSpacing/>
        <w:jc w:val="center"/>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Статистика развития МСП в Республике Бурятия [5]</w:t>
      </w:r>
    </w:p>
    <w:tbl>
      <w:tblPr>
        <w:tblStyle w:val="1"/>
        <w:tblW w:w="5000" w:type="pct"/>
        <w:tblLook w:val="04A0" w:firstRow="1" w:lastRow="0" w:firstColumn="1" w:lastColumn="0" w:noHBand="0" w:noVBand="1"/>
      </w:tblPr>
      <w:tblGrid>
        <w:gridCol w:w="2945"/>
        <w:gridCol w:w="1134"/>
        <w:gridCol w:w="1134"/>
        <w:gridCol w:w="1134"/>
        <w:gridCol w:w="1134"/>
        <w:gridCol w:w="1133"/>
        <w:gridCol w:w="957"/>
      </w:tblGrid>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Категория</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2021 г.</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2022 г.</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2023 г.</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2024 г.</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2025 г.</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Темп роста</w:t>
            </w:r>
            <w:proofErr w:type="gramStart"/>
            <w:r w:rsidRPr="00787B3D">
              <w:rPr>
                <w:rFonts w:ascii="Times New Roman" w:eastAsia="Calibri" w:hAnsi="Times New Roman" w:cs="Times New Roman"/>
                <w:color w:val="000000"/>
                <w:sz w:val="28"/>
                <w:szCs w:val="28"/>
              </w:rPr>
              <w:t>, (%)</w:t>
            </w:r>
            <w:proofErr w:type="gramEnd"/>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Число МСП</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31 150</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30 932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30 315</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32 267</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33 070</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2,49%</w:t>
            </w:r>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proofErr w:type="spellStart"/>
            <w:r w:rsidRPr="00787B3D">
              <w:rPr>
                <w:rFonts w:ascii="Times New Roman" w:eastAsia="Calibri" w:hAnsi="Times New Roman" w:cs="Times New Roman"/>
                <w:color w:val="000000"/>
                <w:sz w:val="28"/>
                <w:szCs w:val="28"/>
              </w:rPr>
              <w:t>Микропредприятия</w:t>
            </w:r>
            <w:proofErr w:type="spellEnd"/>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30 365</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30 150</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29 546</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31 432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32 218</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2,50%</w:t>
            </w:r>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Малые предприятия</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753</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747</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732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797</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814</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2,13%</w:t>
            </w:r>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Средние предприятия</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35</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37</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38</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38</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0,00%</w:t>
            </w:r>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Число юр. лиц</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12 707</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11 912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9 783</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9 578</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9 711</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1,39%</w:t>
            </w:r>
          </w:p>
        </w:tc>
      </w:tr>
      <w:tr w:rsidR="00C14612" w:rsidRPr="00787B3D" w:rsidTr="003504B0">
        <w:tc>
          <w:tcPr>
            <w:tcW w:w="1537"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Число ИП</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18 443</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19 020</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20 532</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22 689</w:t>
            </w:r>
          </w:p>
        </w:tc>
        <w:tc>
          <w:tcPr>
            <w:tcW w:w="592"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23 359</w:t>
            </w:r>
          </w:p>
        </w:tc>
        <w:tc>
          <w:tcPr>
            <w:tcW w:w="500" w:type="pct"/>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2,95%</w:t>
            </w:r>
          </w:p>
        </w:tc>
      </w:tr>
    </w:tbl>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В результате анализа данных по изменениям в количестве малых и средних предприятий (МСП) с 2021 по 2025 год можно сделать следующие выводы. Общее число МСП демонстрирует положительный рост, увеличившись с 31 150 в 2021 году до 33 070 в 2025 году, что составляет темп роста 2,49%. Основную долю среди них занимают </w:t>
      </w:r>
      <w:proofErr w:type="spellStart"/>
      <w:r w:rsidRPr="00787B3D">
        <w:rPr>
          <w:rFonts w:ascii="Times New Roman" w:eastAsia="Calibri" w:hAnsi="Times New Roman" w:cs="Times New Roman"/>
          <w:color w:val="000000"/>
          <w:sz w:val="28"/>
          <w:szCs w:val="28"/>
        </w:rPr>
        <w:t>микропредприятия</w:t>
      </w:r>
      <w:proofErr w:type="spellEnd"/>
      <w:r w:rsidRPr="00787B3D">
        <w:rPr>
          <w:rFonts w:ascii="Times New Roman" w:eastAsia="Calibri" w:hAnsi="Times New Roman" w:cs="Times New Roman"/>
          <w:color w:val="000000"/>
          <w:sz w:val="28"/>
          <w:szCs w:val="28"/>
        </w:rPr>
        <w:t xml:space="preserve">, число которых также увеличилось на 2,50% за данный период. Это подчеркивает значимость </w:t>
      </w:r>
      <w:proofErr w:type="spellStart"/>
      <w:r w:rsidRPr="00787B3D">
        <w:rPr>
          <w:rFonts w:ascii="Times New Roman" w:eastAsia="Calibri" w:hAnsi="Times New Roman" w:cs="Times New Roman"/>
          <w:color w:val="000000"/>
          <w:sz w:val="28"/>
          <w:szCs w:val="28"/>
        </w:rPr>
        <w:t>микропредприятий</w:t>
      </w:r>
      <w:proofErr w:type="spellEnd"/>
      <w:r w:rsidRPr="00787B3D">
        <w:rPr>
          <w:rFonts w:ascii="Times New Roman" w:eastAsia="Calibri" w:hAnsi="Times New Roman" w:cs="Times New Roman"/>
          <w:color w:val="000000"/>
          <w:sz w:val="28"/>
          <w:szCs w:val="28"/>
        </w:rPr>
        <w:t xml:space="preserve"> в общей структуре МСП.</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Число малых предприятий за этот период также выросло с 753 до 814, что соответствует темпу роста 2,13%. Однако данный темп ниже, чем у </w:t>
      </w:r>
      <w:proofErr w:type="spellStart"/>
      <w:r w:rsidRPr="00787B3D">
        <w:rPr>
          <w:rFonts w:ascii="Times New Roman" w:eastAsia="Calibri" w:hAnsi="Times New Roman" w:cs="Times New Roman"/>
          <w:color w:val="000000"/>
          <w:sz w:val="28"/>
          <w:szCs w:val="28"/>
        </w:rPr>
        <w:t>микропредприятий</w:t>
      </w:r>
      <w:proofErr w:type="spellEnd"/>
      <w:r w:rsidRPr="00787B3D">
        <w:rPr>
          <w:rFonts w:ascii="Times New Roman" w:eastAsia="Calibri" w:hAnsi="Times New Roman" w:cs="Times New Roman"/>
          <w:color w:val="000000"/>
          <w:sz w:val="28"/>
          <w:szCs w:val="28"/>
        </w:rPr>
        <w:t>, что может свидетельствовать о меньшей динамике их развития. Средние предприятия практически не изменились в количестве, сохраняя стабильный показатель (37–38) и нулевой темп роста за последние два года, что может быть связано с их меньшей численностью или сложностями в развитии.</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Что касается числа юридических лиц, оно снижается с 12 707 в 2021 году до 9 711 в 2025 году, при темпе роста 1,39%. Это может быть связано с изменением структуры бизнеса или более частым выбором индивидуального предпринимательства (ИП). В то же время число ИП демонстрирует уверенный рост, увеличившись с 18 443 в 2021 году до 23 359 в 2025 году, </w:t>
      </w:r>
      <w:r w:rsidRPr="00787B3D">
        <w:rPr>
          <w:rFonts w:ascii="Times New Roman" w:eastAsia="Calibri" w:hAnsi="Times New Roman" w:cs="Times New Roman"/>
          <w:color w:val="000000"/>
          <w:sz w:val="28"/>
          <w:szCs w:val="28"/>
        </w:rPr>
        <w:lastRenderedPageBreak/>
        <w:t>что составляет 2,95% темпа роста. Данный показатель подтверждает тенденцию роста популярности индивидуальной предпринимательской деятельности.</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Таким образом, наибольшая динамика наблюдается среди </w:t>
      </w:r>
      <w:proofErr w:type="spellStart"/>
      <w:r w:rsidRPr="00787B3D">
        <w:rPr>
          <w:rFonts w:ascii="Times New Roman" w:eastAsia="Calibri" w:hAnsi="Times New Roman" w:cs="Times New Roman"/>
          <w:color w:val="000000"/>
          <w:sz w:val="28"/>
          <w:szCs w:val="28"/>
        </w:rPr>
        <w:t>микропредприятий</w:t>
      </w:r>
      <w:proofErr w:type="spellEnd"/>
      <w:r w:rsidRPr="00787B3D">
        <w:rPr>
          <w:rFonts w:ascii="Times New Roman" w:eastAsia="Calibri" w:hAnsi="Times New Roman" w:cs="Times New Roman"/>
          <w:color w:val="000000"/>
          <w:sz w:val="28"/>
          <w:szCs w:val="28"/>
        </w:rPr>
        <w:t xml:space="preserve"> и ИП, что отражает устойчивую тенденцию к выбору мелкого и индивидуального бизнеса в структуре экономической деятельности. Одновременно с этим снижение числа юридических лиц может свидетельствовать о перераспределении ресурсов в пользу более гибких форм бизнеса.</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На 10 января 2025 года, наиболее популярными ОКВЭД среди представителей малого и среднего предпринимательства (МСП) являются следующие: ОКВЭД 47.91, относящийся к розничной торговле по почте или через интернет, составляет 21%. Для сравнения, на 10 января 2024 года этот показатель составлял 19% </w:t>
      </w:r>
      <w:bookmarkStart w:id="2" w:name="_Hlk192593773"/>
      <w:r w:rsidRPr="00787B3D">
        <w:rPr>
          <w:rFonts w:ascii="Times New Roman" w:eastAsia="Calibri" w:hAnsi="Times New Roman" w:cs="Times New Roman"/>
          <w:color w:val="000000"/>
          <w:sz w:val="28"/>
          <w:szCs w:val="28"/>
        </w:rPr>
        <w:t>[5]</w:t>
      </w:r>
      <w:bookmarkEnd w:id="2"/>
      <w:r w:rsidRPr="00787B3D">
        <w:rPr>
          <w:rFonts w:ascii="Times New Roman" w:eastAsia="Calibri" w:hAnsi="Times New Roman" w:cs="Times New Roman"/>
          <w:color w:val="000000"/>
          <w:sz w:val="28"/>
          <w:szCs w:val="28"/>
        </w:rPr>
        <w:t>.</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Вторым по популярности является ОКВЭД 49.41, связанный с деятельностью автомобильного грузового транспорта, который охватывает 15% от общего числа МСП. За ним следует ОКВЭД 41.20, </w:t>
      </w:r>
      <w:proofErr w:type="gramStart"/>
      <w:r w:rsidRPr="00787B3D">
        <w:rPr>
          <w:rFonts w:ascii="Times New Roman" w:eastAsia="Calibri" w:hAnsi="Times New Roman" w:cs="Times New Roman"/>
          <w:color w:val="000000"/>
          <w:sz w:val="28"/>
          <w:szCs w:val="28"/>
        </w:rPr>
        <w:t>касающийся</w:t>
      </w:r>
      <w:proofErr w:type="gramEnd"/>
      <w:r w:rsidRPr="00787B3D">
        <w:rPr>
          <w:rFonts w:ascii="Times New Roman" w:eastAsia="Calibri" w:hAnsi="Times New Roman" w:cs="Times New Roman"/>
          <w:color w:val="000000"/>
          <w:sz w:val="28"/>
          <w:szCs w:val="28"/>
        </w:rPr>
        <w:t xml:space="preserve"> строительства жилых и нежилых зданий, с долей в 14%.</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ОКВЭД 68.20, </w:t>
      </w:r>
      <w:proofErr w:type="gramStart"/>
      <w:r w:rsidRPr="00787B3D">
        <w:rPr>
          <w:rFonts w:ascii="Times New Roman" w:eastAsia="Calibri" w:hAnsi="Times New Roman" w:cs="Times New Roman"/>
          <w:color w:val="000000"/>
          <w:sz w:val="28"/>
          <w:szCs w:val="28"/>
        </w:rPr>
        <w:t>подразумевающий</w:t>
      </w:r>
      <w:proofErr w:type="gramEnd"/>
      <w:r w:rsidRPr="00787B3D">
        <w:rPr>
          <w:rFonts w:ascii="Times New Roman" w:eastAsia="Calibri" w:hAnsi="Times New Roman" w:cs="Times New Roman"/>
          <w:color w:val="000000"/>
          <w:sz w:val="28"/>
          <w:szCs w:val="28"/>
        </w:rPr>
        <w:t xml:space="preserve"> аренду и управление собственным или арендованным недвижимым имуществом, составляет 11%. В сфере розничной торговли преимущественно пищевыми продуктами, напитками и табачными изделиями в неспециализированных магазинах (ОКВЭД 47.11) занято 9%.</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Ресторанный бизнес и доставка продуктов питания (ОКВЭД 56.10) представлены 7%. ОКВЭД 68.20.2, включающий аренду и управление нежилым недвижимым имуществом, занимает 6% (109 600 предприятие). Несколько категорий разделяют долю в 6%: торговля оптовая неспециализированная (ОКВЭД 46.90), разработка компьютерного программного обеспечения (ОКВЭД 62.01), а также предоставление услуг парикмахерскими и салонами красоты (ОКВЭД 96.02).</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lastRenderedPageBreak/>
        <w:t xml:space="preserve">Среди индивидуальных предпринимателей (ИП) наибольшей популярностью пользуется ОКВЭД 47.91 (торговля розничная по почте или через интернет), охватывающий 26% от общего числа ИП. У юридических лиц наиболее распространенным является ОКВЭД 41.20 (строительство жилых и нежилых зданий), также </w:t>
      </w:r>
      <w:proofErr w:type="gramStart"/>
      <w:r w:rsidRPr="00787B3D">
        <w:rPr>
          <w:rFonts w:ascii="Times New Roman" w:eastAsia="Calibri" w:hAnsi="Times New Roman" w:cs="Times New Roman"/>
          <w:color w:val="000000"/>
          <w:sz w:val="28"/>
          <w:szCs w:val="28"/>
        </w:rPr>
        <w:t>охватывающий</w:t>
      </w:r>
      <w:proofErr w:type="gramEnd"/>
      <w:r w:rsidRPr="00787B3D">
        <w:rPr>
          <w:rFonts w:ascii="Times New Roman" w:eastAsia="Calibri" w:hAnsi="Times New Roman" w:cs="Times New Roman"/>
          <w:color w:val="000000"/>
          <w:sz w:val="28"/>
          <w:szCs w:val="28"/>
        </w:rPr>
        <w:t xml:space="preserve"> 26%.</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Министерство промышленности и торговли Российской Федерации выступает ведущим государственным органом, отвечающим за разработку и реализацию политики поддержки предпринимательства в стране. В этой связи крайне важно проанализировать текущее состояние системы поддержки малого бизнеса, выявить ее основные проблемы и разработать практические рекомендации по ее дальнейшему совершенствованию. В таблице 2 представлены существующие меры поддержки малого предпринимательства в РБ [7]. </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p>
    <w:p w:rsidR="00C14612" w:rsidRPr="00787B3D" w:rsidRDefault="00C14612" w:rsidP="00C14612">
      <w:pPr>
        <w:spacing w:after="0" w:line="360" w:lineRule="auto"/>
        <w:ind w:firstLine="567"/>
        <w:contextualSpacing/>
        <w:jc w:val="right"/>
        <w:rPr>
          <w:rFonts w:ascii="Times New Roman" w:eastAsia="Calibri" w:hAnsi="Times New Roman" w:cs="Arial"/>
          <w:color w:val="000000"/>
          <w:sz w:val="28"/>
        </w:rPr>
      </w:pPr>
      <w:r w:rsidRPr="00787B3D">
        <w:rPr>
          <w:rFonts w:ascii="Times New Roman" w:eastAsia="Calibri" w:hAnsi="Times New Roman" w:cs="Arial"/>
          <w:color w:val="000000"/>
          <w:sz w:val="28"/>
        </w:rPr>
        <w:t>Таблица 2</w:t>
      </w:r>
    </w:p>
    <w:p w:rsidR="00C14612" w:rsidRPr="00787B3D" w:rsidRDefault="00C14612" w:rsidP="00C14612">
      <w:pPr>
        <w:spacing w:after="0" w:line="360" w:lineRule="auto"/>
        <w:contextualSpacing/>
        <w:jc w:val="center"/>
        <w:rPr>
          <w:rFonts w:ascii="Times New Roman" w:eastAsia="Calibri" w:hAnsi="Times New Roman" w:cs="Arial"/>
          <w:color w:val="000000"/>
          <w:sz w:val="28"/>
        </w:rPr>
      </w:pPr>
      <w:r w:rsidRPr="00787B3D">
        <w:rPr>
          <w:rFonts w:ascii="Times New Roman" w:eastAsia="Calibri" w:hAnsi="Times New Roman" w:cs="Arial"/>
          <w:color w:val="000000"/>
          <w:sz w:val="28"/>
        </w:rPr>
        <w:t>Существующие меры поддержки малого предпринимательства в РБ [7]</w:t>
      </w:r>
    </w:p>
    <w:tbl>
      <w:tblPr>
        <w:tblStyle w:val="1"/>
        <w:tblW w:w="0" w:type="auto"/>
        <w:tblLook w:val="04A0" w:firstRow="1" w:lastRow="0" w:firstColumn="1" w:lastColumn="0" w:noHBand="0" w:noVBand="1"/>
      </w:tblPr>
      <w:tblGrid>
        <w:gridCol w:w="484"/>
        <w:gridCol w:w="4160"/>
        <w:gridCol w:w="2211"/>
        <w:gridCol w:w="2716"/>
      </w:tblGrid>
      <w:tr w:rsidR="00C14612" w:rsidRPr="00787B3D" w:rsidTr="003504B0">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w:t>
            </w:r>
          </w:p>
        </w:tc>
        <w:tc>
          <w:tcPr>
            <w:tcW w:w="4160"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Меры поддержки</w:t>
            </w:r>
          </w:p>
        </w:tc>
        <w:tc>
          <w:tcPr>
            <w:tcW w:w="1899"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Объем финансирования на 2024 год</w:t>
            </w:r>
          </w:p>
        </w:tc>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Предприниматели – получатели поддержки</w:t>
            </w:r>
          </w:p>
        </w:tc>
      </w:tr>
      <w:tr w:rsidR="00C14612" w:rsidRPr="00787B3D" w:rsidTr="003504B0">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1</w:t>
            </w:r>
          </w:p>
        </w:tc>
        <w:tc>
          <w:tcPr>
            <w:tcW w:w="4160"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Субсидии на возмещение части затрат на приобретение нового оборудования (до 20% затрат, не более 10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 на заявителя)</w:t>
            </w:r>
          </w:p>
        </w:tc>
        <w:tc>
          <w:tcPr>
            <w:tcW w:w="1899"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15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w:t>
            </w:r>
          </w:p>
        </w:tc>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Субъекты МСП, включенные в реестр, осуществляющие деятельность в РБ</w:t>
            </w:r>
          </w:p>
        </w:tc>
      </w:tr>
      <w:tr w:rsidR="00C14612" w:rsidRPr="00787B3D" w:rsidTr="003504B0">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2</w:t>
            </w:r>
          </w:p>
        </w:tc>
        <w:tc>
          <w:tcPr>
            <w:tcW w:w="4160"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Гранты для социальных и молодых предпринимателей (до 500 тыс. руб. на заявителя)</w:t>
            </w:r>
          </w:p>
        </w:tc>
        <w:tc>
          <w:tcPr>
            <w:tcW w:w="1899"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2,5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w:t>
            </w:r>
          </w:p>
        </w:tc>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Социальные предприниматели, МСП в возрасте до 25 лет</w:t>
            </w:r>
          </w:p>
        </w:tc>
      </w:tr>
      <w:tr w:rsidR="00C14612" w:rsidRPr="00787B3D" w:rsidTr="003504B0">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3</w:t>
            </w:r>
          </w:p>
        </w:tc>
        <w:tc>
          <w:tcPr>
            <w:tcW w:w="4160"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Субсидии на возмещение части затрат в сфере обрабатывающей промышленности (до 40%, не более 15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 на заявителя)</w:t>
            </w:r>
          </w:p>
        </w:tc>
        <w:tc>
          <w:tcPr>
            <w:tcW w:w="1899"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45,5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w:t>
            </w:r>
          </w:p>
        </w:tc>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Хозяйствующие субъекты в сфере обрабатывающей промышленности</w:t>
            </w:r>
          </w:p>
        </w:tc>
      </w:tr>
      <w:tr w:rsidR="00C14612" w:rsidRPr="00787B3D" w:rsidTr="003504B0">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4</w:t>
            </w:r>
          </w:p>
        </w:tc>
        <w:tc>
          <w:tcPr>
            <w:tcW w:w="4160"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Поддержка инновационных проектов, получивших одобрение ФГБУ «Фонд содействия развитию малых форм предприятий»</w:t>
            </w:r>
          </w:p>
        </w:tc>
        <w:tc>
          <w:tcPr>
            <w:tcW w:w="1899" w:type="dxa"/>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14,6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w:t>
            </w:r>
          </w:p>
        </w:tc>
        <w:tc>
          <w:tcPr>
            <w:tcW w:w="0" w:type="auto"/>
            <w:hideMark/>
          </w:tcPr>
          <w:p w:rsidR="00C14612" w:rsidRPr="00787B3D" w:rsidRDefault="00C14612" w:rsidP="003504B0">
            <w:pPr>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Инновационные компании, физические лица</w:t>
            </w:r>
          </w:p>
        </w:tc>
      </w:tr>
    </w:tbl>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Меры государственной поддержки малого предпринимательства в Республике Бурятия на 2024 год направлены на стимулирование экономического роста и поддержку субъектов малого и среднего предпринимательства (МСП). Они включают четыре ключевых направления [7].</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Во-первых, предоставляются субсидии на возмещение части затрат, связанных с приобретением нового оборудования. Максимальная сумма субсидии составляет до 20% от понесённых затрат, но не более 10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 на одного заявителя. Общий объём финансирования этой меры составляет 15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 и она доступна для субъектов МСП, зарегистрированных и осуществляющих деятельность в Республике Бурятия.</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Во-вторых, предусмотрены гранты для социальных и молодых предпринимателей. Эти гранты предоставляются в размере до 500 тысяч рублей на одного заявителя, с общим объёмом финансирования в 2,5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 Мера направлена на поддержку социальных предпринимателей, а также молодых предпринимателей в возрасте до 25 лет.</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Третье направление включает субсидии для хозяйствующих субъектов в сфере обрабатывающей промышленности. Они позволяют возмещать до 40% затрат на приобретение нового оборудования, с лимитом не более 15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 на заявителя. Общий объём финансирования на эту программу составляет 45,5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 и она ориентирована на субъектов, работающих в обрабатывающей промышленности.</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В рамках поддержки инновационных проектов предусмотрены субсидии для инновационных компаний и физических лиц, одобренных ФГБУ «Фонд содействия развитию малых форм предприятий». Общий объём финансирования составляет 14,6 </w:t>
      </w:r>
      <w:proofErr w:type="gramStart"/>
      <w:r w:rsidRPr="00787B3D">
        <w:rPr>
          <w:rFonts w:ascii="Times New Roman" w:eastAsia="Calibri" w:hAnsi="Times New Roman" w:cs="Times New Roman"/>
          <w:color w:val="000000"/>
          <w:sz w:val="28"/>
          <w:szCs w:val="28"/>
        </w:rPr>
        <w:t>млн</w:t>
      </w:r>
      <w:proofErr w:type="gramEnd"/>
      <w:r w:rsidRPr="00787B3D">
        <w:rPr>
          <w:rFonts w:ascii="Times New Roman" w:eastAsia="Calibri" w:hAnsi="Times New Roman" w:cs="Times New Roman"/>
          <w:color w:val="000000"/>
          <w:sz w:val="28"/>
          <w:szCs w:val="28"/>
        </w:rPr>
        <w:t xml:space="preserve"> рублей.</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Однако, несмотря на доступные финансовые ресурсы, многие малые и средние предприятия (МСП) сталкиваются </w:t>
      </w:r>
      <w:proofErr w:type="gramStart"/>
      <w:r w:rsidRPr="00787B3D">
        <w:rPr>
          <w:rFonts w:ascii="Times New Roman" w:eastAsia="Calibri" w:hAnsi="Times New Roman" w:cs="Times New Roman"/>
          <w:color w:val="000000"/>
          <w:sz w:val="28"/>
          <w:szCs w:val="28"/>
        </w:rPr>
        <w:t>с</w:t>
      </w:r>
      <w:proofErr w:type="gramEnd"/>
      <w:r w:rsidRPr="00787B3D">
        <w:rPr>
          <w:rFonts w:ascii="Times New Roman" w:eastAsia="Calibri" w:hAnsi="Times New Roman" w:cs="Times New Roman"/>
          <w:color w:val="000000"/>
          <w:sz w:val="28"/>
          <w:szCs w:val="28"/>
        </w:rPr>
        <w:t xml:space="preserve"> значительными проблемами, такими как недостаточный уровень финансовой грамотности, ограниченный </w:t>
      </w:r>
      <w:r w:rsidRPr="00787B3D">
        <w:rPr>
          <w:rFonts w:ascii="Times New Roman" w:eastAsia="Calibri" w:hAnsi="Times New Roman" w:cs="Times New Roman"/>
          <w:color w:val="000000"/>
          <w:sz w:val="28"/>
          <w:szCs w:val="28"/>
        </w:rPr>
        <w:lastRenderedPageBreak/>
        <w:t>доступ к информации о мерах поддержки и сложности в подготовке документов для получения субсидий. Эти трудности часто препятствуют эффективному использованию имеющихся возможностей, что требует внедрения более доступных и понятных механизмов поддержки.</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В таблице 3 можно рассмотреть предложения по совершенствованию системы поддержки малого предпринимательства.</w:t>
      </w: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right"/>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Таблица 3</w:t>
      </w:r>
    </w:p>
    <w:p w:rsidR="00C14612" w:rsidRPr="00787B3D" w:rsidRDefault="00C14612" w:rsidP="00C14612">
      <w:pPr>
        <w:spacing w:after="0" w:line="360" w:lineRule="auto"/>
        <w:contextualSpacing/>
        <w:jc w:val="center"/>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Предложения по совершенствованию системы поддержки малого предпринимательства</w:t>
      </w:r>
    </w:p>
    <w:tbl>
      <w:tblPr>
        <w:tblStyle w:val="1"/>
        <w:tblW w:w="0" w:type="auto"/>
        <w:tblLook w:val="04A0" w:firstRow="1" w:lastRow="0" w:firstColumn="1" w:lastColumn="0" w:noHBand="0" w:noVBand="1"/>
      </w:tblPr>
      <w:tblGrid>
        <w:gridCol w:w="2943"/>
        <w:gridCol w:w="6628"/>
      </w:tblGrid>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Направление поддержки</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Предложения по совершенствованию</w:t>
            </w:r>
          </w:p>
        </w:tc>
      </w:tr>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Финансовая поддержка</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1. Расширение программ микрофинансирования и </w:t>
            </w:r>
            <w:proofErr w:type="spellStart"/>
            <w:r w:rsidRPr="00787B3D">
              <w:rPr>
                <w:rFonts w:ascii="Times New Roman" w:eastAsia="Calibri" w:hAnsi="Times New Roman" w:cs="Arial"/>
                <w:color w:val="000000"/>
                <w:sz w:val="24"/>
                <w:szCs w:val="20"/>
              </w:rPr>
              <w:t>грантовой</w:t>
            </w:r>
            <w:proofErr w:type="spellEnd"/>
            <w:r w:rsidRPr="00787B3D">
              <w:rPr>
                <w:rFonts w:ascii="Times New Roman" w:eastAsia="Calibri" w:hAnsi="Times New Roman" w:cs="Arial"/>
                <w:color w:val="000000"/>
                <w:sz w:val="24"/>
                <w:szCs w:val="20"/>
              </w:rPr>
              <w:t xml:space="preserve"> поддержки для </w:t>
            </w:r>
            <w:proofErr w:type="spellStart"/>
            <w:r w:rsidRPr="00787B3D">
              <w:rPr>
                <w:rFonts w:ascii="Times New Roman" w:eastAsia="Calibri" w:hAnsi="Times New Roman" w:cs="Arial"/>
                <w:color w:val="000000"/>
                <w:sz w:val="24"/>
                <w:szCs w:val="20"/>
              </w:rPr>
              <w:t>стартапов</w:t>
            </w:r>
            <w:proofErr w:type="spellEnd"/>
            <w:r w:rsidRPr="00787B3D">
              <w:rPr>
                <w:rFonts w:ascii="Times New Roman" w:eastAsia="Calibri" w:hAnsi="Times New Roman" w:cs="Arial"/>
                <w:color w:val="000000"/>
                <w:sz w:val="24"/>
                <w:szCs w:val="20"/>
              </w:rPr>
              <w:t xml:space="preserve">. Упрощение требований к залогам для </w:t>
            </w:r>
            <w:proofErr w:type="spellStart"/>
            <w:r w:rsidRPr="00787B3D">
              <w:rPr>
                <w:rFonts w:ascii="Times New Roman" w:eastAsia="Calibri" w:hAnsi="Times New Roman" w:cs="Arial"/>
                <w:color w:val="000000"/>
                <w:sz w:val="24"/>
                <w:szCs w:val="20"/>
              </w:rPr>
              <w:t>микропредприятий</w:t>
            </w:r>
            <w:proofErr w:type="spellEnd"/>
            <w:r w:rsidRPr="00787B3D">
              <w:rPr>
                <w:rFonts w:ascii="Times New Roman" w:eastAsia="Calibri" w:hAnsi="Times New Roman" w:cs="Arial"/>
                <w:color w:val="000000"/>
                <w:sz w:val="24"/>
                <w:szCs w:val="20"/>
              </w:rPr>
              <w:t xml:space="preserve">.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2. Создание единой цифровой платформы с информацией обо всех доступных мерах финансовой поддержки на федеральном и региональном уровнях.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3. Внедрение системы </w:t>
            </w:r>
            <w:proofErr w:type="spellStart"/>
            <w:r w:rsidRPr="00787B3D">
              <w:rPr>
                <w:rFonts w:ascii="Times New Roman" w:eastAsia="Calibri" w:hAnsi="Times New Roman" w:cs="Arial"/>
                <w:color w:val="000000"/>
                <w:sz w:val="24"/>
                <w:szCs w:val="20"/>
              </w:rPr>
              <w:t>скоринга</w:t>
            </w:r>
            <w:proofErr w:type="spellEnd"/>
            <w:r w:rsidRPr="00787B3D">
              <w:rPr>
                <w:rFonts w:ascii="Times New Roman" w:eastAsia="Calibri" w:hAnsi="Times New Roman" w:cs="Arial"/>
                <w:color w:val="000000"/>
                <w:sz w:val="24"/>
                <w:szCs w:val="20"/>
              </w:rPr>
              <w:t>, учитывающей не только финансовые показатели, но и социальную значимость проекта.</w:t>
            </w:r>
          </w:p>
        </w:tc>
      </w:tr>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Информационно-консультационная поддержка</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1. Создание единого цифрового портала «Мой бизнес 2.0» с персонализированными рекомендациями и доступом ко всем необходимым сервисам.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2. Развитие онлайн-образования и </w:t>
            </w:r>
            <w:proofErr w:type="spellStart"/>
            <w:r w:rsidRPr="00787B3D">
              <w:rPr>
                <w:rFonts w:ascii="Times New Roman" w:eastAsia="Calibri" w:hAnsi="Times New Roman" w:cs="Arial"/>
                <w:color w:val="000000"/>
                <w:sz w:val="24"/>
                <w:szCs w:val="20"/>
              </w:rPr>
              <w:t>вебинаров</w:t>
            </w:r>
            <w:proofErr w:type="spellEnd"/>
            <w:r w:rsidRPr="00787B3D">
              <w:rPr>
                <w:rFonts w:ascii="Times New Roman" w:eastAsia="Calibri" w:hAnsi="Times New Roman" w:cs="Arial"/>
                <w:color w:val="000000"/>
                <w:sz w:val="24"/>
                <w:szCs w:val="20"/>
              </w:rPr>
              <w:t xml:space="preserve"> с практическими кейсами и экспертами из разных отраслей.</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3. Создание сети мобильных консультационных пунктов в отдаленных районах.</w:t>
            </w:r>
          </w:p>
        </w:tc>
      </w:tr>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Поддержка экспорта</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1. Разработка специализированных программ поддержки для малых экспортеров, включая обучение по вопросам внешнеэкономической деятельности, поиск зарубежных партнеров и содействие в участии </w:t>
            </w:r>
            <w:proofErr w:type="gramStart"/>
            <w:r w:rsidRPr="00787B3D">
              <w:rPr>
                <w:rFonts w:ascii="Times New Roman" w:eastAsia="Calibri" w:hAnsi="Times New Roman" w:cs="Arial"/>
                <w:color w:val="000000"/>
                <w:sz w:val="24"/>
                <w:szCs w:val="20"/>
              </w:rPr>
              <w:t>в</w:t>
            </w:r>
            <w:proofErr w:type="gramEnd"/>
            <w:r w:rsidRPr="00787B3D">
              <w:rPr>
                <w:rFonts w:ascii="Times New Roman" w:eastAsia="Calibri" w:hAnsi="Times New Roman" w:cs="Arial"/>
                <w:color w:val="000000"/>
                <w:sz w:val="24"/>
                <w:szCs w:val="20"/>
              </w:rPr>
              <w:t xml:space="preserve"> международных онлайн-платформах.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2. Создание цифровой платформы для B2B-взаимодействия </w:t>
            </w:r>
            <w:proofErr w:type="gramStart"/>
            <w:r w:rsidRPr="00787B3D">
              <w:rPr>
                <w:rFonts w:ascii="Times New Roman" w:eastAsia="Calibri" w:hAnsi="Times New Roman" w:cs="Arial"/>
                <w:color w:val="000000"/>
                <w:sz w:val="24"/>
                <w:szCs w:val="20"/>
              </w:rPr>
              <w:t>российских</w:t>
            </w:r>
            <w:proofErr w:type="gramEnd"/>
            <w:r w:rsidRPr="00787B3D">
              <w:rPr>
                <w:rFonts w:ascii="Times New Roman" w:eastAsia="Calibri" w:hAnsi="Times New Roman" w:cs="Arial"/>
                <w:color w:val="000000"/>
                <w:sz w:val="24"/>
                <w:szCs w:val="20"/>
              </w:rPr>
              <w:t xml:space="preserve"> МСП с зарубежными покупателями.</w:t>
            </w:r>
          </w:p>
        </w:tc>
      </w:tr>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Совершенствование нормативно-правовой базы</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1. Внедрение «регуляторной гильотины» для постоянного пересмотра и отмены устаревших и избыточных требований.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2. </w:t>
            </w:r>
            <w:proofErr w:type="spellStart"/>
            <w:r w:rsidRPr="00787B3D">
              <w:rPr>
                <w:rFonts w:ascii="Times New Roman" w:eastAsia="Calibri" w:hAnsi="Times New Roman" w:cs="Arial"/>
                <w:color w:val="000000"/>
                <w:sz w:val="24"/>
                <w:szCs w:val="20"/>
              </w:rPr>
              <w:t>Цифровизация</w:t>
            </w:r>
            <w:proofErr w:type="spellEnd"/>
            <w:r w:rsidRPr="00787B3D">
              <w:rPr>
                <w:rFonts w:ascii="Times New Roman" w:eastAsia="Calibri" w:hAnsi="Times New Roman" w:cs="Arial"/>
                <w:color w:val="000000"/>
                <w:sz w:val="24"/>
                <w:szCs w:val="20"/>
              </w:rPr>
              <w:t xml:space="preserve"> всех процессов взаимодействия бизнеса с государством, включая подачу отчетности и получение разрешений.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lastRenderedPageBreak/>
              <w:t>3. Разработка системы «цифрового профиля» предприятия, позволяющей автоматически формировать необходимую отчетность на основе имеющихся данных.</w:t>
            </w:r>
          </w:p>
        </w:tc>
      </w:tr>
      <w:tr w:rsidR="00C14612" w:rsidRPr="00787B3D" w:rsidTr="003504B0">
        <w:tc>
          <w:tcPr>
            <w:tcW w:w="2943"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lastRenderedPageBreak/>
              <w:t>Поддержка инноваций и технологического развития</w:t>
            </w:r>
          </w:p>
        </w:tc>
        <w:tc>
          <w:tcPr>
            <w:tcW w:w="6628" w:type="dxa"/>
            <w:hideMark/>
          </w:tcPr>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1. Создание венчурных фондов, ориентированных на финансирование </w:t>
            </w:r>
            <w:proofErr w:type="spellStart"/>
            <w:r w:rsidRPr="00787B3D">
              <w:rPr>
                <w:rFonts w:ascii="Times New Roman" w:eastAsia="Calibri" w:hAnsi="Times New Roman" w:cs="Arial"/>
                <w:color w:val="000000"/>
                <w:sz w:val="24"/>
                <w:szCs w:val="20"/>
              </w:rPr>
              <w:t>стартапов</w:t>
            </w:r>
            <w:proofErr w:type="spellEnd"/>
            <w:r w:rsidRPr="00787B3D">
              <w:rPr>
                <w:rFonts w:ascii="Times New Roman" w:eastAsia="Calibri" w:hAnsi="Times New Roman" w:cs="Arial"/>
                <w:color w:val="000000"/>
                <w:sz w:val="24"/>
                <w:szCs w:val="20"/>
              </w:rPr>
              <w:t xml:space="preserve"> на посевной и ранней стадиях.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2. Развитие программ акселерации и </w:t>
            </w:r>
            <w:proofErr w:type="spellStart"/>
            <w:r w:rsidRPr="00787B3D">
              <w:rPr>
                <w:rFonts w:ascii="Times New Roman" w:eastAsia="Calibri" w:hAnsi="Times New Roman" w:cs="Arial"/>
                <w:color w:val="000000"/>
                <w:sz w:val="24"/>
                <w:szCs w:val="20"/>
              </w:rPr>
              <w:t>менторства</w:t>
            </w:r>
            <w:proofErr w:type="spellEnd"/>
            <w:r w:rsidRPr="00787B3D">
              <w:rPr>
                <w:rFonts w:ascii="Times New Roman" w:eastAsia="Calibri" w:hAnsi="Times New Roman" w:cs="Arial"/>
                <w:color w:val="000000"/>
                <w:sz w:val="24"/>
                <w:szCs w:val="20"/>
              </w:rPr>
              <w:t xml:space="preserve"> для инновационных проектов. </w:t>
            </w:r>
          </w:p>
          <w:p w:rsidR="00C14612" w:rsidRPr="00787B3D" w:rsidRDefault="00C14612" w:rsidP="003504B0">
            <w:pPr>
              <w:contextualSpacing/>
              <w:jc w:val="both"/>
              <w:rPr>
                <w:rFonts w:ascii="Times New Roman" w:eastAsia="Calibri" w:hAnsi="Times New Roman" w:cs="Arial"/>
                <w:color w:val="000000"/>
                <w:sz w:val="24"/>
                <w:szCs w:val="20"/>
              </w:rPr>
            </w:pPr>
            <w:r w:rsidRPr="00787B3D">
              <w:rPr>
                <w:rFonts w:ascii="Times New Roman" w:eastAsia="Calibri" w:hAnsi="Times New Roman" w:cs="Arial"/>
                <w:color w:val="000000"/>
                <w:sz w:val="24"/>
                <w:szCs w:val="20"/>
              </w:rPr>
              <w:t xml:space="preserve">3. Создание сети центров </w:t>
            </w:r>
            <w:proofErr w:type="spellStart"/>
            <w:r w:rsidRPr="00787B3D">
              <w:rPr>
                <w:rFonts w:ascii="Times New Roman" w:eastAsia="Calibri" w:hAnsi="Times New Roman" w:cs="Arial"/>
                <w:color w:val="000000"/>
                <w:sz w:val="24"/>
                <w:szCs w:val="20"/>
              </w:rPr>
              <w:t>прототипирования</w:t>
            </w:r>
            <w:proofErr w:type="spellEnd"/>
            <w:r w:rsidRPr="00787B3D">
              <w:rPr>
                <w:rFonts w:ascii="Times New Roman" w:eastAsia="Calibri" w:hAnsi="Times New Roman" w:cs="Arial"/>
                <w:color w:val="000000"/>
                <w:sz w:val="24"/>
                <w:szCs w:val="20"/>
              </w:rPr>
              <w:t xml:space="preserve"> и </w:t>
            </w:r>
            <w:proofErr w:type="spellStart"/>
            <w:r w:rsidRPr="00787B3D">
              <w:rPr>
                <w:rFonts w:ascii="Times New Roman" w:eastAsia="Calibri" w:hAnsi="Times New Roman" w:cs="Arial"/>
                <w:color w:val="000000"/>
                <w:sz w:val="24"/>
                <w:szCs w:val="20"/>
              </w:rPr>
              <w:t>FabLab</w:t>
            </w:r>
            <w:proofErr w:type="spellEnd"/>
            <w:r w:rsidRPr="00787B3D">
              <w:rPr>
                <w:rFonts w:ascii="Times New Roman" w:eastAsia="Calibri" w:hAnsi="Times New Roman" w:cs="Arial"/>
                <w:color w:val="000000"/>
                <w:sz w:val="24"/>
                <w:szCs w:val="20"/>
              </w:rPr>
              <w:t xml:space="preserve"> для поддержки разработки и тестирования новых продуктов.</w:t>
            </w:r>
          </w:p>
        </w:tc>
      </w:tr>
    </w:tbl>
    <w:p w:rsidR="00C14612" w:rsidRPr="00787B3D" w:rsidRDefault="00C14612" w:rsidP="00C14612">
      <w:pPr>
        <w:spacing w:after="0" w:line="360" w:lineRule="auto"/>
        <w:ind w:firstLine="567"/>
        <w:contextualSpacing/>
        <w:jc w:val="both"/>
        <w:rPr>
          <w:rFonts w:ascii="Times New Roman" w:eastAsia="Calibri" w:hAnsi="Times New Roman" w:cs="Times New Roman"/>
          <w:color w:val="000000"/>
          <w:sz w:val="28"/>
          <w:szCs w:val="28"/>
        </w:rPr>
      </w:pP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В целом предложенные меры направлены на создание более благоприятных условий для развития малого предпринимательства в Республике Бурятия, что должно привести к увеличению количества действующих МСП, росту их вклада в ВВП, созданию новых рабочих мест, повышению инновационной активности и улучшению делового климата в целом. Комплексная реализация этих мер, с учетом региональных особенностей и активным взаимодействием между различными ведомствами, позволит достичь максимального эффекта.</w:t>
      </w:r>
    </w:p>
    <w:p w:rsidR="00C14612" w:rsidRPr="00787B3D" w:rsidRDefault="00C14612" w:rsidP="00C14612">
      <w:pPr>
        <w:spacing w:after="0" w:line="360" w:lineRule="auto"/>
        <w:ind w:firstLine="567"/>
        <w:contextualSpacing/>
        <w:rPr>
          <w:rFonts w:ascii="Times New Roman" w:eastAsia="Calibri" w:hAnsi="Times New Roman" w:cs="Arial"/>
          <w:color w:val="000000"/>
          <w:sz w:val="28"/>
        </w:rPr>
      </w:pPr>
    </w:p>
    <w:p w:rsidR="00C14612" w:rsidRPr="00235669" w:rsidRDefault="00C14612" w:rsidP="00C14612">
      <w:pPr>
        <w:spacing w:after="0" w:line="360" w:lineRule="auto"/>
        <w:ind w:firstLine="567"/>
        <w:contextualSpacing/>
        <w:rPr>
          <w:rFonts w:ascii="Times New Roman" w:eastAsia="Calibri" w:hAnsi="Times New Roman" w:cs="Arial"/>
          <w:bCs/>
          <w:color w:val="000000"/>
          <w:sz w:val="28"/>
        </w:rPr>
      </w:pPr>
      <w:r w:rsidRPr="00235669">
        <w:rPr>
          <w:rFonts w:ascii="Times New Roman" w:eastAsia="Calibri" w:hAnsi="Times New Roman" w:cs="Arial"/>
          <w:bCs/>
          <w:color w:val="000000"/>
          <w:sz w:val="28"/>
        </w:rPr>
        <w:t>СПИСОК ЛИТЕРАТУРЫ</w:t>
      </w:r>
    </w:p>
    <w:p w:rsidR="00C14612" w:rsidRPr="00787B3D" w:rsidRDefault="00C14612" w:rsidP="00C14612">
      <w:pPr>
        <w:spacing w:after="0" w:line="360" w:lineRule="auto"/>
        <w:ind w:firstLine="567"/>
        <w:contextualSpacing/>
        <w:jc w:val="both"/>
        <w:rPr>
          <w:rFonts w:ascii="Times New Roman" w:eastAsia="Calibri" w:hAnsi="Times New Roman" w:cs="Arial"/>
          <w:color w:val="000000"/>
          <w:sz w:val="28"/>
        </w:rPr>
      </w:pP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bookmarkStart w:id="3" w:name="_Hlk193152079"/>
      <w:r w:rsidRPr="00787B3D">
        <w:rPr>
          <w:rFonts w:ascii="Times New Roman" w:eastAsia="Calibri" w:hAnsi="Times New Roman" w:cs="Arial"/>
          <w:color w:val="000000"/>
          <w:sz w:val="28"/>
        </w:rPr>
        <w:t>Закон Республики Бурятия от 7 ноября 2008 г. N 568-IV «О развитии малого и среднего предпринимательства в Республике Бурятия»</w:t>
      </w:r>
      <w:proofErr w:type="gramStart"/>
      <w:r w:rsidRPr="00787B3D">
        <w:rPr>
          <w:rFonts w:ascii="Times New Roman" w:eastAsia="Calibri" w:hAnsi="Times New Roman" w:cs="Arial"/>
          <w:color w:val="000000"/>
          <w:sz w:val="28"/>
        </w:rPr>
        <w:t>.</w:t>
      </w:r>
      <w:proofErr w:type="gramEnd"/>
      <w:r w:rsidRPr="00787B3D">
        <w:rPr>
          <w:rFonts w:ascii="Times New Roman" w:eastAsia="Calibri" w:hAnsi="Times New Roman" w:cs="Arial"/>
          <w:color w:val="000000"/>
          <w:sz w:val="28"/>
        </w:rPr>
        <w:t xml:space="preserve"> (</w:t>
      </w:r>
      <w:proofErr w:type="gramStart"/>
      <w:r w:rsidRPr="00787B3D">
        <w:rPr>
          <w:rFonts w:ascii="Times New Roman" w:eastAsia="Calibri" w:hAnsi="Times New Roman" w:cs="Arial"/>
          <w:color w:val="000000"/>
          <w:sz w:val="28"/>
        </w:rPr>
        <w:t>с</w:t>
      </w:r>
      <w:proofErr w:type="gramEnd"/>
      <w:r w:rsidRPr="00787B3D">
        <w:rPr>
          <w:rFonts w:ascii="Times New Roman" w:eastAsia="Calibri" w:hAnsi="Times New Roman" w:cs="Arial"/>
          <w:color w:val="000000"/>
          <w:sz w:val="28"/>
        </w:rPr>
        <w:t xml:space="preserve"> изменениями и дополнениями). – Доступ из справочно-правовой системы «</w:t>
      </w:r>
      <w:proofErr w:type="spellStart"/>
      <w:r w:rsidRPr="00787B3D">
        <w:rPr>
          <w:rFonts w:ascii="Times New Roman" w:eastAsia="Calibri" w:hAnsi="Times New Roman" w:cs="Arial"/>
          <w:color w:val="000000"/>
          <w:sz w:val="28"/>
        </w:rPr>
        <w:t>КонсультантПлюс</w:t>
      </w:r>
      <w:proofErr w:type="spellEnd"/>
      <w:r w:rsidRPr="00787B3D">
        <w:rPr>
          <w:rFonts w:ascii="Times New Roman" w:eastAsia="Calibri" w:hAnsi="Times New Roman" w:cs="Arial"/>
          <w:color w:val="000000"/>
          <w:sz w:val="28"/>
        </w:rPr>
        <w:t>».</w:t>
      </w: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proofErr w:type="spellStart"/>
      <w:r w:rsidRPr="00787B3D">
        <w:rPr>
          <w:rFonts w:ascii="Times New Roman" w:eastAsia="Calibri" w:hAnsi="Times New Roman" w:cs="Arial"/>
          <w:color w:val="000000"/>
          <w:sz w:val="28"/>
        </w:rPr>
        <w:t>Батталова</w:t>
      </w:r>
      <w:proofErr w:type="spellEnd"/>
      <w:r w:rsidRPr="00787B3D">
        <w:rPr>
          <w:rFonts w:ascii="Times New Roman" w:eastAsia="Calibri" w:hAnsi="Times New Roman" w:cs="Arial"/>
          <w:color w:val="000000"/>
          <w:sz w:val="28"/>
        </w:rPr>
        <w:t xml:space="preserve">, Л.М. Государственно-правовые механизмы как неотъемлемый фактор развития предприятий малого и среднего бизнеса / Л.М. </w:t>
      </w:r>
      <w:proofErr w:type="spellStart"/>
      <w:r w:rsidRPr="00787B3D">
        <w:rPr>
          <w:rFonts w:ascii="Times New Roman" w:eastAsia="Calibri" w:hAnsi="Times New Roman" w:cs="Arial"/>
          <w:color w:val="000000"/>
          <w:sz w:val="28"/>
        </w:rPr>
        <w:t>Батталова</w:t>
      </w:r>
      <w:proofErr w:type="spellEnd"/>
      <w:r w:rsidRPr="00787B3D">
        <w:rPr>
          <w:rFonts w:ascii="Times New Roman" w:eastAsia="Calibri" w:hAnsi="Times New Roman" w:cs="Arial"/>
          <w:color w:val="000000"/>
          <w:sz w:val="28"/>
        </w:rPr>
        <w:t xml:space="preserve"> // Образование и право. – 2023. – № 2. – С. 184–190. </w:t>
      </w: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proofErr w:type="spellStart"/>
      <w:r w:rsidRPr="00787B3D">
        <w:rPr>
          <w:rFonts w:ascii="Times New Roman" w:eastAsia="Calibri" w:hAnsi="Times New Roman" w:cs="Arial"/>
          <w:color w:val="000000"/>
          <w:sz w:val="28"/>
        </w:rPr>
        <w:t>Гаспарян</w:t>
      </w:r>
      <w:proofErr w:type="spellEnd"/>
      <w:r w:rsidRPr="00787B3D">
        <w:rPr>
          <w:rFonts w:ascii="Times New Roman" w:eastAsia="Calibri" w:hAnsi="Times New Roman" w:cs="Arial"/>
          <w:color w:val="000000"/>
          <w:sz w:val="28"/>
        </w:rPr>
        <w:t xml:space="preserve"> К. К., Лопатина Е. И., Москвитина М. А. Роль государственных и муниципальных органов в поддержке малого и среднего бизнеса в условиях цифровой трансформации // Наука и технологии: трансформация парадигмы и влияние на общество</w:t>
      </w:r>
      <w:proofErr w:type="gramStart"/>
      <w:r w:rsidRPr="00787B3D">
        <w:rPr>
          <w:rFonts w:ascii="Times New Roman" w:eastAsia="Calibri" w:hAnsi="Times New Roman" w:cs="Arial"/>
          <w:color w:val="000000"/>
          <w:sz w:val="28"/>
        </w:rPr>
        <w:t xml:space="preserve"> :</w:t>
      </w:r>
      <w:proofErr w:type="gramEnd"/>
      <w:r w:rsidRPr="00787B3D">
        <w:rPr>
          <w:rFonts w:ascii="Times New Roman" w:eastAsia="Calibri" w:hAnsi="Times New Roman" w:cs="Arial"/>
          <w:color w:val="000000"/>
          <w:sz w:val="28"/>
        </w:rPr>
        <w:t xml:space="preserve"> сборник научных трудов по материалам Международной научно-практической конференции 16 января </w:t>
      </w:r>
      <w:r w:rsidRPr="00787B3D">
        <w:rPr>
          <w:rFonts w:ascii="Times New Roman" w:eastAsia="Calibri" w:hAnsi="Times New Roman" w:cs="Arial"/>
          <w:color w:val="000000"/>
          <w:sz w:val="28"/>
        </w:rPr>
        <w:lastRenderedPageBreak/>
        <w:t>2025г.  Белгород</w:t>
      </w:r>
      <w:proofErr w:type="gramStart"/>
      <w:r w:rsidRPr="00787B3D">
        <w:rPr>
          <w:rFonts w:ascii="Times New Roman" w:eastAsia="Calibri" w:hAnsi="Times New Roman" w:cs="Arial"/>
          <w:color w:val="000000"/>
          <w:sz w:val="28"/>
        </w:rPr>
        <w:t xml:space="preserve"> :</w:t>
      </w:r>
      <w:proofErr w:type="gramEnd"/>
      <w:r w:rsidRPr="00787B3D">
        <w:rPr>
          <w:rFonts w:ascii="Times New Roman" w:eastAsia="Calibri" w:hAnsi="Times New Roman" w:cs="Arial"/>
          <w:color w:val="000000"/>
          <w:sz w:val="28"/>
        </w:rPr>
        <w:t xml:space="preserve"> ООО Агентство перспективных научных исследований (АПНИ), 2025. С. 24-28. </w:t>
      </w: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proofErr w:type="spellStart"/>
      <w:r w:rsidRPr="00787B3D">
        <w:rPr>
          <w:rFonts w:ascii="Times New Roman" w:eastAsia="Calibri" w:hAnsi="Times New Roman" w:cs="Arial"/>
          <w:color w:val="000000"/>
          <w:sz w:val="28"/>
        </w:rPr>
        <w:t>Евстегнеева</w:t>
      </w:r>
      <w:proofErr w:type="spellEnd"/>
      <w:r w:rsidRPr="00787B3D">
        <w:rPr>
          <w:rFonts w:ascii="Times New Roman" w:eastAsia="Calibri" w:hAnsi="Times New Roman" w:cs="Arial"/>
          <w:color w:val="000000"/>
          <w:sz w:val="28"/>
        </w:rPr>
        <w:t xml:space="preserve">, А. Ю. Государственная финансовая поддержка российского малого и среднего предпринимательства / А. Ю. </w:t>
      </w:r>
      <w:proofErr w:type="spellStart"/>
      <w:r w:rsidRPr="00787B3D">
        <w:rPr>
          <w:rFonts w:ascii="Times New Roman" w:eastAsia="Calibri" w:hAnsi="Times New Roman" w:cs="Arial"/>
          <w:color w:val="000000"/>
          <w:sz w:val="28"/>
        </w:rPr>
        <w:t>Евстегнеева</w:t>
      </w:r>
      <w:proofErr w:type="spellEnd"/>
      <w:r w:rsidRPr="00787B3D">
        <w:rPr>
          <w:rFonts w:ascii="Times New Roman" w:eastAsia="Calibri" w:hAnsi="Times New Roman" w:cs="Arial"/>
          <w:color w:val="000000"/>
          <w:sz w:val="28"/>
        </w:rPr>
        <w:t xml:space="preserve"> // Вестник евразийской науки. – 2023. – Т. 15. – № s3. С. 1-13.</w:t>
      </w: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Количество юридических лиц и индивидуальных предпринимателей, сведения о которых содержатся в Едином реестре субъектов малого и среднего предпринимательства по Республике Бурятия [Электронный ресурс] https://rmsp.nalog.ru/statistics.html?statDate=&amp;level=0&amp;fo=8&amp;ssrf=03 (дата обращения: 10.02.2025)</w:t>
      </w:r>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Единый реестр субъектов малого и среднего предпринимательства </w:t>
      </w:r>
      <w:bookmarkStart w:id="4" w:name="_Hlk192593669"/>
      <w:r w:rsidRPr="00787B3D">
        <w:rPr>
          <w:rFonts w:ascii="Times New Roman" w:eastAsia="Calibri" w:hAnsi="Times New Roman" w:cs="Arial"/>
          <w:color w:val="000000"/>
          <w:sz w:val="28"/>
        </w:rPr>
        <w:t xml:space="preserve">[Электронный ресурс] </w:t>
      </w:r>
      <w:hyperlink r:id="rId7" w:history="1">
        <w:r w:rsidRPr="00787B3D">
          <w:rPr>
            <w:rFonts w:ascii="Times New Roman" w:eastAsia="Calibri" w:hAnsi="Times New Roman" w:cs="Arial"/>
            <w:color w:val="000000"/>
            <w:sz w:val="28"/>
            <w:u w:val="single"/>
          </w:rPr>
          <w:t>https://ofd.nalog.ru/</w:t>
        </w:r>
      </w:hyperlink>
      <w:r w:rsidRPr="00787B3D">
        <w:rPr>
          <w:rFonts w:ascii="Times New Roman" w:eastAsia="Calibri" w:hAnsi="Times New Roman" w:cs="Arial"/>
          <w:color w:val="000000"/>
          <w:sz w:val="28"/>
        </w:rPr>
        <w:t xml:space="preserve"> (дата обращения: 10.02.2025)</w:t>
      </w:r>
      <w:bookmarkEnd w:id="4"/>
    </w:p>
    <w:p w:rsidR="00C14612" w:rsidRPr="00787B3D" w:rsidRDefault="00C14612" w:rsidP="00C14612">
      <w:pPr>
        <w:numPr>
          <w:ilvl w:val="0"/>
          <w:numId w:val="1"/>
        </w:numPr>
        <w:tabs>
          <w:tab w:val="left" w:pos="993"/>
        </w:tabs>
        <w:spacing w:after="0" w:line="360" w:lineRule="auto"/>
        <w:ind w:left="0" w:firstLine="567"/>
        <w:contextualSpacing/>
        <w:jc w:val="both"/>
        <w:rPr>
          <w:rFonts w:ascii="Times New Roman" w:eastAsia="Calibri" w:hAnsi="Times New Roman" w:cs="Arial"/>
          <w:color w:val="000000"/>
          <w:sz w:val="28"/>
        </w:rPr>
      </w:pPr>
      <w:r w:rsidRPr="00787B3D">
        <w:rPr>
          <w:rFonts w:ascii="Times New Roman" w:eastAsia="Calibri" w:hAnsi="Times New Roman" w:cs="Arial"/>
          <w:color w:val="000000"/>
          <w:sz w:val="28"/>
        </w:rPr>
        <w:t xml:space="preserve">Информация по мерам поддержки </w:t>
      </w:r>
      <w:proofErr w:type="spellStart"/>
      <w:r w:rsidRPr="00787B3D">
        <w:rPr>
          <w:rFonts w:ascii="Times New Roman" w:eastAsia="Calibri" w:hAnsi="Times New Roman" w:cs="Arial"/>
          <w:color w:val="000000"/>
          <w:sz w:val="28"/>
        </w:rPr>
        <w:t>Минпромторга</w:t>
      </w:r>
      <w:proofErr w:type="spellEnd"/>
      <w:r w:rsidRPr="00787B3D">
        <w:rPr>
          <w:rFonts w:ascii="Times New Roman" w:eastAsia="Calibri" w:hAnsi="Times New Roman" w:cs="Arial"/>
          <w:color w:val="000000"/>
          <w:sz w:val="28"/>
        </w:rPr>
        <w:t xml:space="preserve"> РБ 2024 г. [Электронный ресурс] https://docs.yandex.ru/docs/view?url=ya-browser%3A%2F%2F4DT1uXEPRrJRXlUFoewruDFg5sG6Nzpv_TwQ69VyhRnm0fp_ec30cYrwicwG9In9IW1aUhj4HpQEkdZMaLcjvnceUvZV1leo0i5AtQXXnfl4tA3Kv4ULFa2bzM4EJVDb2q3b2-MTHRAvCBsKJ-Ipfw%3D%3D%3Fsign%3DypOfxXQAesCJWvofRtwoQhImaH0KKCBnqLescrqzM8g%3D&amp;name=Информация%20по%20мерам%20поддержки%20Минпромторга%20РБ%202024%20г_.docx (дата обращения: 10.02.2025)</w:t>
      </w:r>
      <w:bookmarkEnd w:id="3"/>
    </w:p>
    <w:p w:rsidR="00C14612" w:rsidRPr="00787B3D" w:rsidRDefault="00C14612" w:rsidP="00C14612">
      <w:pPr>
        <w:tabs>
          <w:tab w:val="left" w:pos="993"/>
        </w:tabs>
        <w:spacing w:after="0" w:line="360" w:lineRule="auto"/>
        <w:ind w:firstLine="709"/>
        <w:contextualSpacing/>
        <w:jc w:val="both"/>
        <w:rPr>
          <w:rFonts w:ascii="Times New Roman" w:eastAsia="Calibri" w:hAnsi="Times New Roman" w:cs="Arial"/>
          <w:color w:val="000000"/>
          <w:sz w:val="28"/>
        </w:rPr>
      </w:pPr>
    </w:p>
    <w:p w:rsidR="002B7DED" w:rsidRDefault="002B7DED"/>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23189"/>
    <w:multiLevelType w:val="hybridMultilevel"/>
    <w:tmpl w:val="0F6868C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612"/>
    <w:rsid w:val="002B7DED"/>
    <w:rsid w:val="00815231"/>
    <w:rsid w:val="00C14612"/>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6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C14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C14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1461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146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6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C14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C14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1461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146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ofd.nalog.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2328</Words>
  <Characters>13271</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2025-04-04T06:00:00Z</dcterms:created>
  <dcterms:modified xsi:type="dcterms:W3CDTF">2025-04-04T06:01:00Z</dcterms:modified>
</cp:coreProperties>
</file>